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54297">
      <w:pPr>
        <w:keepNext w:val="0"/>
        <w:keepLines w:val="0"/>
        <w:pageBreakBefore w:val="0"/>
        <w:widowControl w:val="0"/>
        <w:tabs>
          <w:tab w:val="center" w:pos="4655"/>
          <w:tab w:val="right" w:pos="9184"/>
        </w:tabs>
        <w:kinsoku/>
        <w:wordWrap/>
        <w:overflowPunct w:val="0"/>
        <w:topLinePunct w:val="0"/>
        <w:autoSpaceDE/>
        <w:autoSpaceDN/>
        <w:bidi w:val="0"/>
        <w:adjustRightInd w:val="0"/>
        <w:snapToGrid w:val="0"/>
        <w:spacing w:line="620" w:lineRule="exact"/>
        <w:jc w:val="center"/>
        <w:textAlignment w:val="auto"/>
        <w:rPr>
          <w:rFonts w:eastAsia="方正小标宋简体"/>
          <w:bCs/>
          <w:color w:val="000000" w:themeColor="text1"/>
          <w:sz w:val="44"/>
          <w:szCs w:val="44"/>
          <w14:textFill>
            <w14:solidFill>
              <w14:schemeClr w14:val="tx1"/>
            </w14:solidFill>
          </w14:textFill>
        </w:rPr>
      </w:pPr>
      <w:bookmarkStart w:id="0" w:name="_GoBack"/>
      <w:bookmarkEnd w:id="0"/>
      <w:r>
        <w:rPr>
          <w:rFonts w:eastAsia="方正小标宋简体"/>
          <w:bCs/>
          <w:sz w:val="44"/>
          <w:szCs w:val="44"/>
        </w:rPr>
        <w:t>柳州市民政局关于</w:t>
      </w:r>
      <w:r>
        <w:rPr>
          <w:rFonts w:hint="eastAsia" w:eastAsia="方正小标宋简体"/>
          <w:bCs/>
          <w:sz w:val="44"/>
          <w:szCs w:val="44"/>
        </w:rPr>
        <w:t>进一步健全完善</w:t>
      </w:r>
      <w:r>
        <w:rPr>
          <w:rFonts w:hint="eastAsia" w:eastAsia="方正小标宋简体"/>
          <w:bCs/>
          <w:color w:val="000000" w:themeColor="text1"/>
          <w:sz w:val="44"/>
          <w:szCs w:val="44"/>
          <w14:textFill>
            <w14:solidFill>
              <w14:schemeClr w14:val="tx1"/>
            </w14:solidFill>
          </w14:textFill>
        </w:rPr>
        <w:t>特困人员</w:t>
      </w:r>
    </w:p>
    <w:p w14:paraId="6DC982E4">
      <w:pPr>
        <w:keepNext w:val="0"/>
        <w:keepLines w:val="0"/>
        <w:pageBreakBefore w:val="0"/>
        <w:widowControl w:val="0"/>
        <w:tabs>
          <w:tab w:val="center" w:pos="4655"/>
          <w:tab w:val="right" w:pos="9184"/>
        </w:tabs>
        <w:kinsoku/>
        <w:wordWrap/>
        <w:overflowPunct w:val="0"/>
        <w:topLinePunct w:val="0"/>
        <w:autoSpaceDE/>
        <w:autoSpaceDN/>
        <w:bidi w:val="0"/>
        <w:adjustRightInd w:val="0"/>
        <w:snapToGrid w:val="0"/>
        <w:spacing w:line="620" w:lineRule="exact"/>
        <w:jc w:val="center"/>
        <w:textAlignment w:val="auto"/>
        <w:rPr>
          <w:rFonts w:eastAsia="方正小标宋简体"/>
          <w:bCs/>
          <w:color w:val="000000" w:themeColor="text1"/>
          <w:sz w:val="44"/>
          <w:szCs w:val="44"/>
          <w14:textFill>
            <w14:solidFill>
              <w14:schemeClr w14:val="tx1"/>
            </w14:solidFill>
          </w14:textFill>
        </w:rPr>
      </w:pPr>
      <w:r>
        <w:rPr>
          <w:rFonts w:hint="eastAsia" w:eastAsia="方正小标宋简体"/>
          <w:bCs/>
          <w:color w:val="000000" w:themeColor="text1"/>
          <w:sz w:val="44"/>
          <w:szCs w:val="44"/>
          <w14:textFill>
            <w14:solidFill>
              <w14:schemeClr w14:val="tx1"/>
            </w14:solidFill>
          </w14:textFill>
        </w:rPr>
        <w:t>住院陪护服务制度</w:t>
      </w:r>
      <w:r>
        <w:rPr>
          <w:rFonts w:eastAsia="方正小标宋简体"/>
          <w:bCs/>
          <w:color w:val="000000" w:themeColor="text1"/>
          <w:sz w:val="44"/>
          <w:szCs w:val="44"/>
          <w14:textFill>
            <w14:solidFill>
              <w14:schemeClr w14:val="tx1"/>
            </w14:solidFill>
          </w14:textFill>
        </w:rPr>
        <w:t>的</w:t>
      </w:r>
      <w:r>
        <w:rPr>
          <w:rFonts w:hint="eastAsia" w:eastAsia="方正小标宋简体"/>
          <w:bCs/>
          <w:color w:val="000000" w:themeColor="text1"/>
          <w:sz w:val="44"/>
          <w:szCs w:val="44"/>
          <w14:textFill>
            <w14:solidFill>
              <w14:schemeClr w14:val="tx1"/>
            </w14:solidFill>
          </w14:textFill>
        </w:rPr>
        <w:t>通知</w:t>
      </w:r>
    </w:p>
    <w:p w14:paraId="63E1070B">
      <w:pPr>
        <w:pStyle w:val="5"/>
        <w:keepNext w:val="0"/>
        <w:keepLines w:val="0"/>
        <w:pageBreakBefore w:val="0"/>
        <w:widowControl w:val="0"/>
        <w:kinsoku/>
        <w:wordWrap/>
        <w:topLinePunct w:val="0"/>
        <w:autoSpaceDE/>
        <w:autoSpaceDN/>
        <w:bidi w:val="0"/>
        <w:spacing w:line="620" w:lineRule="exact"/>
        <w:ind w:left="0" w:right="0"/>
        <w:textAlignment w:val="auto"/>
        <w:rPr>
          <w:rFonts w:ascii="Times New Roman" w:hAnsi="Times New Roman" w:eastAsia="宋体" w:cs="Times New Roman"/>
          <w:b/>
          <w:bCs/>
        </w:rPr>
      </w:pPr>
    </w:p>
    <w:p w14:paraId="66B43983">
      <w:pPr>
        <w:keepNext w:val="0"/>
        <w:keepLines w:val="0"/>
        <w:pageBreakBefore w:val="0"/>
        <w:kinsoku/>
        <w:wordWrap/>
        <w:overflowPunct w:val="0"/>
        <w:topLinePunct w:val="0"/>
        <w:autoSpaceDE/>
        <w:autoSpaceDN/>
        <w:bidi w:val="0"/>
        <w:adjustRightInd w:val="0"/>
        <w:snapToGrid w:val="0"/>
        <w:spacing w:line="580" w:lineRule="exact"/>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各县（区）民政局，柳东新区、北部生态新区（阳和工业新区）社会事务局：</w:t>
      </w:r>
    </w:p>
    <w:p w14:paraId="415B6CAA">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为深入贯彻落实《</w:t>
      </w:r>
      <w:r>
        <w:rPr>
          <w:rFonts w:hint="default" w:ascii="Times New Roman" w:hAnsi="Times New Roman" w:eastAsia="仿宋_GB2312" w:cs="Times New Roman"/>
          <w:sz w:val="32"/>
          <w:szCs w:val="32"/>
        </w:rPr>
        <w:t>自治区党委办公厅</w:t>
      </w:r>
      <w:r>
        <w:rPr>
          <w:rFonts w:hint="default" w:ascii="Times New Roman" w:hAnsi="Times New Roman" w:eastAsia="仿宋_GB2312" w:cs="Times New Roman"/>
          <w:sz w:val="32"/>
          <w:szCs w:val="32"/>
          <w:lang w:eastAsia="zh-CN"/>
        </w:rPr>
        <w:t>　</w:t>
      </w:r>
      <w:r>
        <w:rPr>
          <w:rFonts w:hint="default" w:ascii="Times New Roman" w:hAnsi="Times New Roman" w:eastAsia="仿宋_GB2312" w:cs="Times New Roman"/>
          <w:sz w:val="32"/>
          <w:szCs w:val="32"/>
        </w:rPr>
        <w:t>自治区人民政府办公厅印发&lt;关于改革完善社会救助制度的若干措施&gt;的通知》（桂办发﹝2020﹞23号）《柳州市人民政府关于进一步健全特困人员救助供养制度的实施意见》（柳政规〔2017〕15号）等文件精神，进一步建全完善特困供养人员住院陪护机制，不断提升特困人员供养救助水平，确保特困人员“生病有人管、住院有人看护”</w:t>
      </w:r>
      <w:r>
        <w:rPr>
          <w:rFonts w:hint="default" w:ascii="Times New Roman" w:hAnsi="Times New Roman" w:eastAsia="仿宋_GB2312" w:cs="Times New Roman"/>
          <w:kern w:val="0"/>
          <w:sz w:val="32"/>
          <w:szCs w:val="32"/>
          <w:shd w:val="clear" w:color="auto" w:fill="FFFFFF"/>
        </w:rPr>
        <w:t>。现结合我市实际，就进一步做好特困人员住院陪护工作提出如下要求。</w:t>
      </w:r>
    </w:p>
    <w:p w14:paraId="6F3C6E3C">
      <w:pPr>
        <w:pStyle w:val="2"/>
        <w:rPr>
          <w:rFonts w:hint="default"/>
        </w:rPr>
      </w:pPr>
    </w:p>
    <w:p w14:paraId="2F770DE1">
      <w:pPr>
        <w:keepNext w:val="0"/>
        <w:keepLines w:val="0"/>
        <w:pageBreakBefore w:val="0"/>
        <w:numPr>
          <w:ilvl w:val="0"/>
          <w:numId w:val="1"/>
        </w:numPr>
        <w:kinsoku/>
        <w:wordWrap/>
        <w:topLinePunct w:val="0"/>
        <w:autoSpaceDE/>
        <w:autoSpaceDN/>
        <w:bidi w:val="0"/>
        <w:spacing w:line="580" w:lineRule="exact"/>
        <w:ind w:firstLine="640" w:firstLineChars="200"/>
        <w:textAlignment w:val="auto"/>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住院陪护服务具体对象</w:t>
      </w:r>
    </w:p>
    <w:p w14:paraId="6BF1A3A8">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kern w:val="0"/>
          <w:sz w:val="32"/>
          <w:szCs w:val="32"/>
        </w:rPr>
        <w:t>完全丧失、部分丧失生活自理能力</w:t>
      </w:r>
      <w:r>
        <w:rPr>
          <w:rFonts w:hint="default" w:ascii="Times New Roman" w:hAnsi="Times New Roman" w:eastAsia="仿宋_GB2312" w:cs="Times New Roman"/>
          <w:sz w:val="32"/>
          <w:szCs w:val="32"/>
        </w:rPr>
        <w:t>的特困人员；</w:t>
      </w:r>
    </w:p>
    <w:p w14:paraId="01135FDE">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kern w:val="0"/>
          <w:sz w:val="32"/>
          <w:szCs w:val="32"/>
        </w:rPr>
        <w:t>平时生活能够自理但因病住院期间生活不能自理的特困人员，视同阶段性不能自理的特困人员；</w:t>
      </w:r>
    </w:p>
    <w:p w14:paraId="66080E20">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kern w:val="0"/>
          <w:sz w:val="32"/>
          <w:szCs w:val="32"/>
        </w:rPr>
        <w:t>（三）因突发意外等原因导致完全或部分丧失生活自理能力的特困人员。</w:t>
      </w:r>
    </w:p>
    <w:p w14:paraId="37D6E2E0">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二、住院陪护服务人员范围</w:t>
      </w:r>
    </w:p>
    <w:p w14:paraId="1A237C9E">
      <w:pPr>
        <w:keepNext w:val="0"/>
        <w:keepLines w:val="0"/>
        <w:pageBreakBefore w:val="0"/>
        <w:kinsoku/>
        <w:wordWrap/>
        <w:topLinePunct w:val="0"/>
        <w:autoSpaceDE/>
        <w:autoSpaceDN/>
        <w:bidi w:val="0"/>
        <w:spacing w:line="580" w:lineRule="exact"/>
        <w:ind w:left="638" w:leftChars="304"/>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（一）县级民政部门所属福利机构、养老服务机构派遣的护</w:t>
      </w:r>
    </w:p>
    <w:p w14:paraId="63A36F46">
      <w:pPr>
        <w:keepNext w:val="0"/>
        <w:keepLines w:val="0"/>
        <w:pageBreakBefore w:val="0"/>
        <w:kinsoku/>
        <w:wordWrap/>
        <w:topLinePunct w:val="0"/>
        <w:autoSpaceDE/>
        <w:autoSpaceDN/>
        <w:bidi w:val="0"/>
        <w:spacing w:line="58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理人员；</w:t>
      </w:r>
    </w:p>
    <w:p w14:paraId="212A7838">
      <w:pPr>
        <w:keepNext w:val="0"/>
        <w:keepLines w:val="0"/>
        <w:pageBreakBefore w:val="0"/>
        <w:numPr>
          <w:ilvl w:val="0"/>
          <w:numId w:val="2"/>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与乡镇人民政府（街道办事处）签订了照料护理协议的特困人员生活照料义务人；</w:t>
      </w:r>
    </w:p>
    <w:p w14:paraId="2B4335CC">
      <w:pPr>
        <w:keepNext w:val="0"/>
        <w:keepLines w:val="0"/>
        <w:pageBreakBefore w:val="0"/>
        <w:numPr>
          <w:ilvl w:val="0"/>
          <w:numId w:val="2"/>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县级民政部门通过政府购买第三方服务机构安排的护理人员；</w:t>
      </w:r>
    </w:p>
    <w:p w14:paraId="63BF9520">
      <w:pPr>
        <w:keepNext w:val="0"/>
        <w:keepLines w:val="0"/>
        <w:pageBreakBefore w:val="0"/>
        <w:numPr>
          <w:ilvl w:val="0"/>
          <w:numId w:val="2"/>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县级民政部门聘请的专业护理人员；</w:t>
      </w:r>
    </w:p>
    <w:p w14:paraId="169A9819">
      <w:pPr>
        <w:keepNext w:val="0"/>
        <w:keepLines w:val="0"/>
        <w:pageBreakBefore w:val="0"/>
        <w:numPr>
          <w:ilvl w:val="0"/>
          <w:numId w:val="2"/>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县级民政部门认可的其他人员。</w:t>
      </w:r>
    </w:p>
    <w:p w14:paraId="7AC34038">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三、住院陪护服务费执行标准</w:t>
      </w:r>
    </w:p>
    <w:p w14:paraId="31EC7D45">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bCs/>
          <w:color w:val="auto"/>
          <w:kern w:val="0"/>
          <w:sz w:val="32"/>
          <w:szCs w:val="32"/>
        </w:rPr>
      </w:pPr>
      <w:r>
        <w:rPr>
          <w:rFonts w:hint="default" w:ascii="Times New Roman" w:hAnsi="Times New Roman" w:eastAsia="仿宋_GB2312" w:cs="Times New Roman"/>
          <w:color w:val="auto"/>
          <w:sz w:val="32"/>
          <w:szCs w:val="32"/>
        </w:rPr>
        <w:t>住院陪护服务费标准参照当地医疗机构陪护行业指导价格确定，并主动向发</w:t>
      </w:r>
      <w:r>
        <w:rPr>
          <w:rFonts w:hint="default" w:ascii="Times New Roman" w:hAnsi="Times New Roman" w:eastAsia="仿宋_GB2312" w:cs="Times New Roman"/>
          <w:color w:val="auto"/>
          <w:sz w:val="32"/>
          <w:szCs w:val="32"/>
          <w:lang w:eastAsia="zh-CN"/>
        </w:rPr>
        <w:t>展</w:t>
      </w:r>
      <w:r>
        <w:rPr>
          <w:rFonts w:hint="default" w:ascii="Times New Roman" w:hAnsi="Times New Roman" w:eastAsia="仿宋_GB2312" w:cs="Times New Roman"/>
          <w:bCs/>
          <w:color w:val="auto"/>
          <w:kern w:val="0"/>
          <w:sz w:val="32"/>
          <w:szCs w:val="32"/>
        </w:rPr>
        <w:t>改</w:t>
      </w:r>
      <w:r>
        <w:rPr>
          <w:rFonts w:hint="default" w:ascii="Times New Roman" w:hAnsi="Times New Roman" w:eastAsia="仿宋_GB2312" w:cs="Times New Roman"/>
          <w:bCs/>
          <w:color w:val="auto"/>
          <w:kern w:val="0"/>
          <w:sz w:val="32"/>
          <w:szCs w:val="32"/>
          <w:lang w:eastAsia="zh-CN"/>
        </w:rPr>
        <w:t>革</w:t>
      </w:r>
      <w:r>
        <w:rPr>
          <w:rFonts w:hint="default" w:ascii="Times New Roman" w:hAnsi="Times New Roman" w:eastAsia="仿宋_GB2312" w:cs="Times New Roman"/>
          <w:bCs/>
          <w:color w:val="auto"/>
          <w:kern w:val="0"/>
          <w:sz w:val="32"/>
          <w:szCs w:val="32"/>
        </w:rPr>
        <w:t>等部门报备。</w:t>
      </w:r>
    </w:p>
    <w:p w14:paraId="3E9F6972">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 w:cs="Times New Roman"/>
          <w:color w:val="auto"/>
          <w:kern w:val="0"/>
          <w:sz w:val="32"/>
          <w:szCs w:val="32"/>
          <w:shd w:val="clear" w:color="auto" w:fill="FFFFFF"/>
        </w:rPr>
      </w:pPr>
      <w:r>
        <w:rPr>
          <w:rFonts w:hint="default" w:ascii="Times New Roman" w:hAnsi="Times New Roman" w:eastAsia="仿宋_GB2312" w:cs="Times New Roman"/>
          <w:bCs/>
          <w:color w:val="auto"/>
          <w:kern w:val="0"/>
          <w:sz w:val="32"/>
          <w:szCs w:val="32"/>
        </w:rPr>
        <w:t>（一）需要长期聘用专人进行住院陪护服务的，原则上按照当地人社部门关于聘用人员待遇的有关政策执行；</w:t>
      </w:r>
    </w:p>
    <w:p w14:paraId="77D066A4">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仿宋_GB2312" w:cs="Times New Roman"/>
          <w:bCs/>
          <w:color w:val="auto"/>
          <w:kern w:val="0"/>
          <w:sz w:val="32"/>
          <w:szCs w:val="32"/>
        </w:rPr>
        <w:t>（二）已纳入照料服务范围的特困人员住院，由其照料义务人进行住院陪护的，住院陪护费参照购买第三方服务机构或聘请</w:t>
      </w:r>
      <w:r>
        <w:rPr>
          <w:rFonts w:hint="default" w:ascii="Times New Roman" w:hAnsi="Times New Roman" w:eastAsia="仿宋_GB2312" w:cs="Times New Roman"/>
          <w:bCs/>
          <w:color w:val="000000" w:themeColor="text1"/>
          <w:kern w:val="0"/>
          <w:sz w:val="32"/>
          <w:szCs w:val="32"/>
          <w14:textFill>
            <w14:solidFill>
              <w14:schemeClr w14:val="tx1"/>
            </w14:solidFill>
          </w14:textFill>
        </w:rPr>
        <w:t>专业人员服务的费用标准适当予以补差；</w:t>
      </w:r>
    </w:p>
    <w:p w14:paraId="40206864">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 w:cs="Times New Roman"/>
          <w:color w:val="auto"/>
          <w:kern w:val="0"/>
          <w:sz w:val="32"/>
          <w:szCs w:val="32"/>
          <w:shd w:val="clear" w:color="auto" w:fill="FFFFFF"/>
        </w:rPr>
      </w:pPr>
      <w:r>
        <w:rPr>
          <w:rFonts w:hint="default" w:ascii="Times New Roman" w:hAnsi="Times New Roman" w:eastAsia="仿宋_GB2312" w:cs="Times New Roman"/>
          <w:bCs/>
          <w:color w:val="000000" w:themeColor="text1"/>
          <w:kern w:val="0"/>
          <w:sz w:val="32"/>
          <w:szCs w:val="32"/>
          <w14:textFill>
            <w14:solidFill>
              <w14:schemeClr w14:val="tx1"/>
            </w14:solidFill>
          </w14:textFill>
        </w:rPr>
        <w:t>（三）平时生活能够自理但因病住院期间不能自理的，视同阶段性不能自理特困人员，可委托其近亲属（或其他人员）进行临时照料护理，</w:t>
      </w:r>
      <w:r>
        <w:rPr>
          <w:rFonts w:hint="default" w:ascii="Times New Roman" w:hAnsi="Times New Roman" w:eastAsia="仿宋_GB2312" w:cs="Times New Roman"/>
          <w:color w:val="000000" w:themeColor="text1"/>
          <w:sz w:val="32"/>
          <w:szCs w:val="32"/>
          <w14:textFill>
            <w14:solidFill>
              <w14:schemeClr w14:val="tx1"/>
            </w14:solidFill>
          </w14:textFill>
        </w:rPr>
        <w:t>住院陪护服务费</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参照</w:t>
      </w:r>
      <w:r>
        <w:rPr>
          <w:rFonts w:hint="default" w:ascii="Times New Roman" w:hAnsi="Times New Roman" w:eastAsia="仿宋_GB2312" w:cs="Times New Roman"/>
          <w:color w:val="000000" w:themeColor="text1"/>
          <w:sz w:val="32"/>
          <w:szCs w:val="32"/>
          <w14:textFill>
            <w14:solidFill>
              <w14:schemeClr w14:val="tx1"/>
            </w14:solidFill>
          </w14:textFill>
        </w:rPr>
        <w:t>购买第</w:t>
      </w:r>
      <w:r>
        <w:rPr>
          <w:rFonts w:hint="default" w:ascii="Times New Roman" w:hAnsi="Times New Roman" w:eastAsia="仿宋_GB2312" w:cs="Times New Roman"/>
          <w:color w:val="auto"/>
          <w:sz w:val="32"/>
          <w:szCs w:val="32"/>
        </w:rPr>
        <w:t>三方服务机构或</w:t>
      </w:r>
      <w:r>
        <w:rPr>
          <w:rFonts w:hint="default" w:ascii="Times New Roman" w:hAnsi="Times New Roman" w:eastAsia="仿宋_GB2312" w:cs="Times New Roman"/>
          <w:bCs/>
          <w:color w:val="auto"/>
          <w:kern w:val="0"/>
          <w:sz w:val="32"/>
          <w:szCs w:val="32"/>
        </w:rPr>
        <w:t>聘请</w:t>
      </w:r>
      <w:r>
        <w:rPr>
          <w:rFonts w:hint="default" w:ascii="Times New Roman" w:hAnsi="Times New Roman" w:eastAsia="仿宋_GB2312" w:cs="Times New Roman"/>
          <w:color w:val="auto"/>
          <w:sz w:val="32"/>
          <w:szCs w:val="32"/>
        </w:rPr>
        <w:t>专业人员服务的陪护服务费标准</w:t>
      </w:r>
      <w:r>
        <w:rPr>
          <w:rFonts w:hint="default" w:ascii="Times New Roman" w:hAnsi="Times New Roman" w:eastAsia="仿宋_GB2312" w:cs="Times New Roman"/>
          <w:color w:val="auto"/>
          <w:kern w:val="0"/>
          <w:sz w:val="32"/>
          <w:szCs w:val="32"/>
          <w:shd w:val="clear" w:color="auto" w:fill="FFFFFF"/>
        </w:rPr>
        <w:t>发放；</w:t>
      </w:r>
    </w:p>
    <w:p w14:paraId="08610074">
      <w:pPr>
        <w:keepNext w:val="0"/>
        <w:keepLines w:val="0"/>
        <w:pageBreakBefore w:val="0"/>
        <w:widowControl/>
        <w:kinsoku/>
        <w:wordWrap/>
        <w:topLinePunct w:val="0"/>
        <w:autoSpaceDE/>
        <w:autoSpaceDN/>
        <w:bidi w:val="0"/>
        <w:spacing w:line="580" w:lineRule="exact"/>
        <w:ind w:firstLine="640" w:firstLineChars="200"/>
        <w:jc w:val="left"/>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color w:val="auto"/>
          <w:kern w:val="0"/>
          <w:sz w:val="32"/>
          <w:szCs w:val="32"/>
          <w:shd w:val="clear" w:color="auto" w:fill="FFFFFF"/>
        </w:rPr>
        <w:t>（四）特困人员因病情严重，按医嘱转院（不在本辖区</w:t>
      </w:r>
      <w:r>
        <w:rPr>
          <w:rFonts w:hint="default" w:ascii="Times New Roman" w:hAnsi="Times New Roman" w:eastAsia="仿宋_GB2312" w:cs="Times New Roman"/>
          <w:kern w:val="0"/>
          <w:sz w:val="32"/>
          <w:szCs w:val="32"/>
          <w:shd w:val="clear" w:color="auto" w:fill="FFFFFF"/>
        </w:rPr>
        <w:t>范围）治疗，符合住院陪护条件的，由县级民政部门派遣、聘请或动员其近亲属进行住院陪护服务，</w:t>
      </w:r>
      <w:r>
        <w:rPr>
          <w:rFonts w:hint="default" w:ascii="Times New Roman" w:hAnsi="Times New Roman" w:eastAsia="仿宋_GB2312" w:cs="Times New Roman"/>
          <w:sz w:val="32"/>
          <w:szCs w:val="32"/>
        </w:rPr>
        <w:t>住院陪护服务费用由县级民政部门与陪护服务人员协商确定，并签订相应协议书。</w:t>
      </w:r>
    </w:p>
    <w:p w14:paraId="7015A542">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四、健全完善监管机制 </w:t>
      </w:r>
    </w:p>
    <w:p w14:paraId="50EE7206">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（一）加强沟通协调。</w:t>
      </w:r>
      <w:r>
        <w:rPr>
          <w:rFonts w:hint="default" w:ascii="Times New Roman" w:hAnsi="Times New Roman" w:eastAsia="仿宋_GB2312" w:cs="Times New Roman"/>
          <w:sz w:val="32"/>
          <w:szCs w:val="32"/>
        </w:rPr>
        <w:t>县级民政部门应主动与卫生健康、医保等部门沟通，充分发挥县级困难群众基本生活保障协调机构的作用，协调解决特困人员医疗救助、住院陪护等问题。要加强与医疗机构的协调，认真做好因病住院特困人员的生活自理能力评估工作，落实“谁评估谁签字谁负责”管理责任，确保特困人员住院期间得到有效照料。</w:t>
      </w:r>
    </w:p>
    <w:p w14:paraId="15A6EF3A">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（二）加强陪护监管。</w:t>
      </w:r>
      <w:r>
        <w:rPr>
          <w:rFonts w:hint="default" w:ascii="Times New Roman" w:hAnsi="Times New Roman" w:eastAsia="仿宋_GB2312" w:cs="Times New Roman"/>
          <w:sz w:val="32"/>
          <w:szCs w:val="32"/>
        </w:rPr>
        <w:t>县级民政部门、乡镇政府（街道办）要建立完善监管机制，通过</w:t>
      </w:r>
      <w:r>
        <w:rPr>
          <w:rFonts w:hint="default" w:ascii="Times New Roman" w:hAnsi="Times New Roman" w:eastAsia="仿宋_GB2312" w:cs="Times New Roman"/>
          <w:color w:val="000000" w:themeColor="text1"/>
          <w:sz w:val="32"/>
          <w:szCs w:val="32"/>
          <w14:textFill>
            <w14:solidFill>
              <w14:schemeClr w14:val="tx1"/>
            </w14:solidFill>
          </w14:textFill>
        </w:rPr>
        <w:t>日考</w:t>
      </w:r>
      <w:r>
        <w:rPr>
          <w:rFonts w:hint="default" w:ascii="Times New Roman" w:hAnsi="Times New Roman" w:eastAsia="仿宋_GB2312" w:cs="Times New Roman"/>
          <w:sz w:val="32"/>
          <w:szCs w:val="32"/>
        </w:rPr>
        <w:t>勤、定期或不定期抽查等方式对陪护人员服务情况进行跟踪监督，发现问题及时督促整改，对因陪护人员不认真履职、弄虚作假导致救助服务对象利益受损或存在利益输送等情形，要按照陪护协议约定扣减或停止支付陪护费；需要更换住院陪护人的要及时更换；造成严重后果的，要依法依规追究相关人员责任。</w:t>
      </w:r>
    </w:p>
    <w:p w14:paraId="4BBEB640">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（三）健全扣补机制。</w:t>
      </w:r>
      <w:r>
        <w:rPr>
          <w:rFonts w:hint="default" w:ascii="Times New Roman" w:hAnsi="Times New Roman" w:eastAsia="仿宋_GB2312" w:cs="Times New Roman"/>
          <w:sz w:val="32"/>
          <w:szCs w:val="32"/>
        </w:rPr>
        <w:t>已享受生活照料护理费的特困人员因病住院期间，由其生活照料义务人陪护服务的，县级民政部门应参照当地住院陪护指导价按补差发放住院陪护费。由县级民政部门派遣住院陪护人员的，特困人员住院期间的生活照料护理费应当按照实际陪护天数进行扣减。</w:t>
      </w:r>
    </w:p>
    <w:p w14:paraId="21B5EF6C">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（四）加强内控管理。</w:t>
      </w:r>
      <w:r>
        <w:rPr>
          <w:rFonts w:hint="default" w:ascii="Times New Roman" w:hAnsi="Times New Roman" w:eastAsia="仿宋_GB2312" w:cs="Times New Roman"/>
          <w:sz w:val="32"/>
          <w:szCs w:val="32"/>
        </w:rPr>
        <w:t>县级民政部门要健全完善财务管理制度，从资金筹集、拨付、使用等各个环节加强监管，切实堵塞资金管理漏洞。坚决杜绝弄虚作假、虚报冒领护理费等问题发生，确保困难群众救助资金安全运行、专款专用。</w:t>
      </w:r>
    </w:p>
    <w:p w14:paraId="7A71694D">
      <w:pPr>
        <w:keepNext w:val="0"/>
        <w:keepLines w:val="0"/>
        <w:pageBreakBefore w:val="0"/>
        <w:kinsoku/>
        <w:wordWrap/>
        <w:topLinePunct w:val="0"/>
        <w:autoSpaceDE/>
        <w:autoSpaceDN/>
        <w:bidi w:val="0"/>
        <w:spacing w:line="580" w:lineRule="exact"/>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　</w:t>
      </w:r>
      <w:r>
        <w:rPr>
          <w:rFonts w:hint="default" w:ascii="Times New Roman" w:hAnsi="Times New Roman" w:eastAsia="黑体" w:cs="Times New Roman"/>
          <w:sz w:val="32"/>
          <w:szCs w:val="32"/>
        </w:rPr>
        <w:t>　五、工作要求</w:t>
      </w:r>
    </w:p>
    <w:p w14:paraId="101C7028">
      <w:pPr>
        <w:keepNext w:val="0"/>
        <w:keepLines w:val="0"/>
        <w:pageBreakBefore w:val="0"/>
        <w:numPr>
          <w:ilvl w:val="0"/>
          <w:numId w:val="3"/>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高度重视，提高认识。</w:t>
      </w:r>
      <w:r>
        <w:rPr>
          <w:rFonts w:hint="default" w:ascii="Times New Roman" w:hAnsi="Times New Roman" w:eastAsia="仿宋_GB2312" w:cs="Times New Roman"/>
          <w:sz w:val="32"/>
          <w:szCs w:val="32"/>
        </w:rPr>
        <w:t>各县（区）民政局、新区社会事务局要高度重视特困人员住院陪护服务工作，加强统筹谋划，周密协调部署，扎实做好此项工作。要将特困人员住院陪护服务工作纳入当前党史学习教育和“我为群众办实事”“传党恩、暖人心”实践活动来开展，引导特困人员及其照料义务人、社会各界感党恩、听党话、跟党走，以特困人员住院陪护服务工作实绩检验党史学习教育成效。</w:t>
      </w:r>
    </w:p>
    <w:p w14:paraId="6503E5F8">
      <w:pPr>
        <w:keepNext w:val="0"/>
        <w:keepLines w:val="0"/>
        <w:pageBreakBefore w:val="0"/>
        <w:numPr>
          <w:ilvl w:val="0"/>
          <w:numId w:val="3"/>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落实经费，保障到位。</w:t>
      </w:r>
      <w:r>
        <w:rPr>
          <w:rFonts w:hint="default" w:ascii="Times New Roman" w:hAnsi="Times New Roman" w:eastAsia="仿宋_GB2312" w:cs="Times New Roman"/>
          <w:sz w:val="32"/>
          <w:szCs w:val="32"/>
        </w:rPr>
        <w:t>要加强请示汇报，主动与本级财政部门沟通，多渠道筹措经费，确保陪护服务落实到位。通过政府购买第三方机构开展陪护服务的，所需资金可以在当年社会救助专项资金总量的2%中统筹使用，但只能购买服务项目，不得直接用于发放陪护人员服务费。</w:t>
      </w:r>
    </w:p>
    <w:p w14:paraId="2C8B41F5">
      <w:pPr>
        <w:keepNext w:val="0"/>
        <w:keepLines w:val="0"/>
        <w:pageBreakBefore w:val="0"/>
        <w:numPr>
          <w:ilvl w:val="0"/>
          <w:numId w:val="3"/>
        </w:numPr>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健全制度，落实措施</w:t>
      </w:r>
      <w:r>
        <w:rPr>
          <w:rFonts w:hint="default" w:ascii="Times New Roman" w:hAnsi="Times New Roman" w:eastAsia="仿宋_GB2312" w:cs="Times New Roman"/>
          <w:sz w:val="32"/>
          <w:szCs w:val="32"/>
        </w:rPr>
        <w:t>。各县（区）民政局、新区社会事务局要按照本通知要求，结合当地实际，制定本级特困人员住院陪护制度，细化措施内容，层层落实责任，形成工作闭环。本通知印发之日起1个月内，将特困人员住院陪护制度正式文件报送市民政局备案。</w:t>
      </w:r>
    </w:p>
    <w:p w14:paraId="4D9F35C8">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联系人：黄毅华，0772－2826813，邮箱：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"mailto:liuzhoudb@126.com。" </w:instrText>
      </w:r>
      <w:r>
        <w:rPr>
          <w:rFonts w:hint="default" w:ascii="Times New Roman" w:hAnsi="Times New Roman" w:cs="Times New Roman"/>
        </w:rPr>
        <w:fldChar w:fldCharType="separate"/>
      </w:r>
      <w:r>
        <w:rPr>
          <w:rStyle w:val="15"/>
          <w:rFonts w:hint="default" w:ascii="Times New Roman" w:hAnsi="Times New Roman" w:eastAsia="仿宋_GB2312" w:cs="Times New Roman"/>
          <w:color w:val="auto"/>
          <w:sz w:val="32"/>
          <w:szCs w:val="32"/>
          <w:u w:val="none"/>
        </w:rPr>
        <w:t>liuzhoudb@126.com。</w:t>
      </w:r>
      <w:r>
        <w:rPr>
          <w:rStyle w:val="15"/>
          <w:rFonts w:hint="default" w:ascii="Times New Roman" w:hAnsi="Times New Roman" w:eastAsia="仿宋_GB2312" w:cs="Times New Roman"/>
          <w:color w:val="auto"/>
          <w:sz w:val="32"/>
          <w:szCs w:val="32"/>
          <w:u w:val="none"/>
        </w:rPr>
        <w:fldChar w:fldCharType="end"/>
      </w:r>
    </w:p>
    <w:p w14:paraId="72A11DB2">
      <w:pPr>
        <w:keepNext w:val="0"/>
        <w:keepLines w:val="0"/>
        <w:pageBreakBefore w:val="0"/>
        <w:kinsoku/>
        <w:wordWrap/>
        <w:topLinePunct w:val="0"/>
        <w:autoSpaceDE/>
        <w:autoSpaceDN/>
        <w:bidi w:val="0"/>
        <w:spacing w:line="580" w:lineRule="exact"/>
        <w:ind w:firstLine="640" w:firstLineChars="200"/>
        <w:textAlignment w:val="auto"/>
        <w:rPr>
          <w:rFonts w:hint="default" w:ascii="Times New Roman" w:hAnsi="Times New Roman" w:eastAsia="仿宋_GB2312" w:cs="Times New Roman"/>
          <w:sz w:val="32"/>
          <w:szCs w:val="32"/>
        </w:rPr>
      </w:pPr>
    </w:p>
    <w:p w14:paraId="7FA0E48E">
      <w:pPr>
        <w:pStyle w:val="5"/>
        <w:keepNext w:val="0"/>
        <w:keepLines w:val="0"/>
        <w:pageBreakBefore w:val="0"/>
        <w:kinsoku/>
        <w:wordWrap/>
        <w:topLinePunct w:val="0"/>
        <w:autoSpaceDE/>
        <w:autoSpaceDN/>
        <w:bidi w:val="0"/>
        <w:spacing w:line="580" w:lineRule="exact"/>
        <w:textAlignment w:val="auto"/>
        <w:rPr>
          <w:rFonts w:hint="default" w:ascii="Times New Roman" w:hAnsi="Times New Roman" w:cs="Times New Roman"/>
        </w:rPr>
      </w:pPr>
    </w:p>
    <w:p w14:paraId="4E3B9222">
      <w:pPr>
        <w:keepNext w:val="0"/>
        <w:keepLines w:val="0"/>
        <w:pageBreakBefore w:val="0"/>
        <w:kinsoku/>
        <w:wordWrap/>
        <w:topLinePunct w:val="0"/>
        <w:autoSpaceDE/>
        <w:autoSpaceDN/>
        <w:bidi w:val="0"/>
        <w:spacing w:line="580" w:lineRule="exact"/>
        <w:ind w:firstLine="5280" w:firstLineChars="1650"/>
        <w:textAlignment w:val="auto"/>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rPr>
        <w:t>柳州市民政局</w:t>
      </w:r>
    </w:p>
    <w:p w14:paraId="5571C292">
      <w:pPr>
        <w:keepNext w:val="0"/>
        <w:keepLines w:val="0"/>
        <w:pageBreakBefore w:val="0"/>
        <w:kinsoku/>
        <w:wordWrap/>
        <w:topLinePunct w:val="0"/>
        <w:autoSpaceDE/>
        <w:autoSpaceDN/>
        <w:bidi w:val="0"/>
        <w:spacing w:line="580" w:lineRule="exact"/>
        <w:ind w:firstLine="5120" w:firstLineChars="1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2021年5月</w:t>
      </w:r>
      <w:r>
        <w:rPr>
          <w:rFonts w:hint="default"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日</w:t>
      </w:r>
    </w:p>
    <w:p w14:paraId="24F101DE">
      <w:pPr>
        <w:pStyle w:val="2"/>
        <w:rPr>
          <w:rFonts w:hint="default" w:ascii="Times New Roman" w:hAnsi="Times New Roman" w:eastAsia="仿宋_GB2312" w:cs="Times New Roman"/>
          <w:sz w:val="32"/>
          <w:szCs w:val="32"/>
        </w:rPr>
      </w:pPr>
    </w:p>
    <w:p w14:paraId="02A7C3FD">
      <w:pPr>
        <w:pStyle w:val="3"/>
        <w:rPr>
          <w:rFonts w:hint="default" w:ascii="Times New Roman" w:hAnsi="Times New Roman" w:eastAsia="仿宋_GB2312" w:cs="Times New Roman"/>
          <w:sz w:val="32"/>
          <w:szCs w:val="32"/>
        </w:rPr>
      </w:pPr>
    </w:p>
    <w:p w14:paraId="204BE060">
      <w:pPr>
        <w:rPr>
          <w:rFonts w:hint="default" w:ascii="Times New Roman" w:hAnsi="Times New Roman" w:eastAsia="仿宋_GB2312" w:cs="Times New Roman"/>
          <w:sz w:val="32"/>
          <w:szCs w:val="32"/>
        </w:rPr>
      </w:pPr>
    </w:p>
    <w:p w14:paraId="1F7EC5B9">
      <w:pPr>
        <w:pStyle w:val="2"/>
        <w:rPr>
          <w:rFonts w:hint="default" w:ascii="Times New Roman" w:hAnsi="Times New Roman" w:eastAsia="仿宋_GB2312" w:cs="Times New Roman"/>
          <w:sz w:val="32"/>
          <w:szCs w:val="32"/>
        </w:rPr>
      </w:pPr>
    </w:p>
    <w:p w14:paraId="33150BD1">
      <w:pPr>
        <w:pStyle w:val="3"/>
        <w:rPr>
          <w:rFonts w:hint="default" w:ascii="Times New Roman" w:hAnsi="Times New Roman" w:eastAsia="仿宋_GB2312" w:cs="Times New Roman"/>
          <w:sz w:val="32"/>
          <w:szCs w:val="32"/>
        </w:rPr>
      </w:pPr>
    </w:p>
    <w:p w14:paraId="63B1716E">
      <w:pPr>
        <w:rPr>
          <w:rFonts w:hint="default" w:ascii="Times New Roman" w:hAnsi="Times New Roman" w:eastAsia="仿宋_GB2312" w:cs="Times New Roman"/>
          <w:sz w:val="32"/>
          <w:szCs w:val="32"/>
        </w:rPr>
      </w:pPr>
    </w:p>
    <w:p w14:paraId="43482A9C">
      <w:pPr>
        <w:pStyle w:val="2"/>
        <w:rPr>
          <w:rFonts w:hint="default" w:ascii="Times New Roman" w:hAnsi="Times New Roman" w:eastAsia="仿宋_GB2312" w:cs="Times New Roman"/>
          <w:sz w:val="32"/>
          <w:szCs w:val="32"/>
        </w:rPr>
      </w:pPr>
    </w:p>
    <w:p w14:paraId="74990D29">
      <w:pPr>
        <w:pStyle w:val="3"/>
        <w:rPr>
          <w:rFonts w:hint="default" w:ascii="Times New Roman" w:hAnsi="Times New Roman" w:eastAsia="仿宋_GB2312" w:cs="Times New Roman"/>
          <w:sz w:val="32"/>
          <w:szCs w:val="32"/>
        </w:rPr>
      </w:pPr>
    </w:p>
    <w:p w14:paraId="1C31E455">
      <w:pPr>
        <w:rPr>
          <w:rFonts w:hint="default" w:ascii="Times New Roman" w:hAnsi="Times New Roman" w:eastAsia="仿宋_GB2312" w:cs="Times New Roman"/>
          <w:sz w:val="32"/>
          <w:szCs w:val="32"/>
        </w:rPr>
      </w:pPr>
    </w:p>
    <w:p w14:paraId="04E60B19">
      <w:pPr>
        <w:pStyle w:val="2"/>
        <w:rPr>
          <w:rFonts w:hint="default" w:ascii="Times New Roman" w:hAnsi="Times New Roman" w:eastAsia="仿宋_GB2312" w:cs="Times New Roman"/>
          <w:sz w:val="32"/>
          <w:szCs w:val="32"/>
        </w:rPr>
      </w:pPr>
    </w:p>
    <w:p w14:paraId="41EB7A01">
      <w:pPr>
        <w:pStyle w:val="3"/>
        <w:rPr>
          <w:rFonts w:hint="default" w:ascii="Times New Roman" w:hAnsi="Times New Roman" w:eastAsia="仿宋_GB2312" w:cs="Times New Roman"/>
          <w:sz w:val="32"/>
          <w:szCs w:val="32"/>
        </w:rPr>
      </w:pPr>
    </w:p>
    <w:p w14:paraId="0C9F8D32">
      <w:pPr>
        <w:pStyle w:val="2"/>
        <w:ind w:left="0" w:leftChars="0" w:firstLine="0" w:firstLineChars="0"/>
        <w:rPr>
          <w:rFonts w:hint="default"/>
        </w:rPr>
      </w:pPr>
    </w:p>
    <w:p w14:paraId="2CEF25A6">
      <w:pPr>
        <w:pStyle w:val="3"/>
        <w:rPr>
          <w:rFonts w:hint="default" w:ascii="Times New Roman" w:hAnsi="Times New Roman" w:eastAsia="仿宋_GB2312" w:cs="Times New Roman"/>
          <w:sz w:val="32"/>
          <w:szCs w:val="32"/>
        </w:rPr>
      </w:pPr>
    </w:p>
    <w:p w14:paraId="0EA61FB7">
      <w:pPr>
        <w:rPr>
          <w:rFonts w:hint="default" w:ascii="Times New Roman" w:hAnsi="Times New Roman" w:eastAsia="仿宋_GB2312" w:cs="Times New Roman"/>
          <w:sz w:val="32"/>
          <w:szCs w:val="32"/>
        </w:rPr>
      </w:pPr>
    </w:p>
    <w:p w14:paraId="1CDFE814">
      <w:pPr>
        <w:pStyle w:val="2"/>
        <w:rPr>
          <w:rFonts w:hint="default" w:ascii="Times New Roman" w:hAnsi="Times New Roman" w:eastAsia="仿宋_GB2312" w:cs="Times New Roman"/>
          <w:sz w:val="32"/>
          <w:szCs w:val="32"/>
        </w:rPr>
      </w:pPr>
    </w:p>
    <w:p w14:paraId="569D9D8B">
      <w:pPr>
        <w:keepNext w:val="0"/>
        <w:keepLines w:val="0"/>
        <w:pageBreakBefore w:val="0"/>
        <w:kinsoku/>
        <w:wordWrap/>
        <w:overflowPunct/>
        <w:topLinePunct w:val="0"/>
        <w:autoSpaceDE/>
        <w:autoSpaceDN/>
        <w:bidi w:val="0"/>
        <w:adjustRightInd/>
        <w:snapToGrid/>
        <w:spacing w:line="580" w:lineRule="exact"/>
        <w:ind w:right="0"/>
        <w:textAlignment w:val="auto"/>
        <w:rPr>
          <w:rFonts w:hint="eastAsia" w:ascii="Times New Roman" w:hAnsi="Times New Roman" w:eastAsia="仿宋_GB2312" w:cs="Times New Roman"/>
          <w:sz w:val="32"/>
          <w:szCs w:val="32"/>
          <w:lang w:eastAsia="zh-CN"/>
        </w:rPr>
      </w:pPr>
      <w:r>
        <w:rPr>
          <w:rFonts w:hint="default" w:ascii="Times New Roman" w:hAnsi="Times New Roman" w:eastAsia="黑体" w:cs="Times New Roman"/>
          <w:color w:val="auto"/>
          <w:sz w:val="32"/>
          <w:szCs w:val="32"/>
        </w:rPr>
        <w:t>公开方式：</w:t>
      </w:r>
      <w:r>
        <w:rPr>
          <w:rFonts w:hint="eastAsia" w:ascii="Times New Roman" w:hAnsi="Times New Roman" w:eastAsia="仿宋_GB2312" w:cs="Times New Roman"/>
          <w:sz w:val="32"/>
          <w:szCs w:val="32"/>
          <w:lang w:eastAsia="zh-CN"/>
        </w:rPr>
        <w:t>主动公开</w:t>
      </w:r>
    </w:p>
    <w:p w14:paraId="50E1CEF5">
      <w:pPr>
        <w:pStyle w:val="2"/>
        <w:rPr>
          <w:rFonts w:hint="eastAsia" w:ascii="Times New Roman" w:hAnsi="Times New Roman" w:eastAsia="仿宋_GB2312" w:cs="Times New Roman"/>
          <w:sz w:val="32"/>
          <w:szCs w:val="32"/>
          <w:lang w:eastAsia="zh-CN"/>
        </w:rPr>
      </w:pPr>
    </w:p>
    <w:p w14:paraId="5A6B6F0C">
      <w:pPr>
        <w:pStyle w:val="3"/>
        <w:rPr>
          <w:rFonts w:hint="eastAsia"/>
          <w:lang w:eastAsia="zh-CN"/>
        </w:rPr>
      </w:pPr>
    </w:p>
    <w:tbl>
      <w:tblPr>
        <w:tblStyle w:val="11"/>
        <w:tblpPr w:leftFromText="180" w:rightFromText="180" w:vertAnchor="text" w:horzAnchor="page" w:tblpX="1495" w:tblpY="14"/>
        <w:tblOverlap w:val="never"/>
        <w:tblW w:w="8815"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8815"/>
      </w:tblGrid>
      <w:tr w14:paraId="04F30C3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0" w:hRule="atLeast"/>
        </w:trPr>
        <w:tc>
          <w:tcPr>
            <w:tcW w:w="8815" w:type="dxa"/>
            <w:tcBorders>
              <w:tl2br w:val="nil"/>
              <w:tr2bl w:val="nil"/>
            </w:tcBorders>
            <w:vAlign w:val="top"/>
          </w:tcPr>
          <w:p w14:paraId="4CBF2EEC">
            <w:pPr>
              <w:keepNext w:val="0"/>
              <w:keepLines w:val="0"/>
              <w:pageBreakBefore w:val="0"/>
              <w:tabs>
                <w:tab w:val="left" w:pos="8400"/>
              </w:tabs>
              <w:wordWrap/>
              <w:topLinePunct w:val="0"/>
              <w:bidi w:val="0"/>
              <w:snapToGrid/>
              <w:spacing w:line="580" w:lineRule="exact"/>
              <w:ind w:firstLine="280" w:firstLineChars="100"/>
              <w:jc w:val="left"/>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sz w:val="28"/>
                <w:szCs w:val="28"/>
                <w:vertAlign w:val="baseline"/>
                <w:lang w:val="en-US" w:eastAsia="zh-CN"/>
              </w:rPr>
              <w:t>柳州市民政局办公室                      2021年</w:t>
            </w:r>
            <w:r>
              <w:rPr>
                <w:rFonts w:hint="eastAsia" w:ascii="Times New Roman" w:hAnsi="Times New Roman" w:eastAsia="仿宋_GB2312" w:cs="Times New Roman"/>
                <w:sz w:val="28"/>
                <w:szCs w:val="28"/>
                <w:vertAlign w:val="baseline"/>
                <w:lang w:val="en-US" w:eastAsia="zh-CN"/>
              </w:rPr>
              <w:t>5</w:t>
            </w:r>
            <w:r>
              <w:rPr>
                <w:rFonts w:hint="default" w:ascii="Times New Roman" w:hAnsi="Times New Roman" w:eastAsia="仿宋_GB2312" w:cs="Times New Roman"/>
                <w:sz w:val="28"/>
                <w:szCs w:val="28"/>
                <w:vertAlign w:val="baseline"/>
                <w:lang w:val="en-US" w:eastAsia="zh-CN"/>
              </w:rPr>
              <w:t>月</w:t>
            </w:r>
            <w:r>
              <w:rPr>
                <w:rFonts w:hint="eastAsia" w:ascii="Times New Roman" w:hAnsi="Times New Roman" w:cs="Times New Roman"/>
                <w:sz w:val="28"/>
                <w:szCs w:val="28"/>
                <w:vertAlign w:val="baseline"/>
                <w:lang w:val="en-US" w:eastAsia="zh-CN"/>
              </w:rPr>
              <w:t>31</w:t>
            </w:r>
            <w:r>
              <w:rPr>
                <w:rFonts w:hint="default" w:ascii="Times New Roman" w:hAnsi="Times New Roman" w:eastAsia="仿宋_GB2312" w:cs="Times New Roman"/>
                <w:sz w:val="28"/>
                <w:szCs w:val="28"/>
                <w:vertAlign w:val="baseline"/>
                <w:lang w:val="en-US" w:eastAsia="zh-CN"/>
              </w:rPr>
              <w:t>日印发</w:t>
            </w:r>
          </w:p>
        </w:tc>
      </w:tr>
    </w:tbl>
    <w:p w14:paraId="59046B5C">
      <w:pPr>
        <w:rPr>
          <w:rFonts w:hint="default"/>
        </w:rPr>
      </w:pPr>
    </w:p>
    <w:sectPr>
      <w:headerReference r:id="rId3" w:type="default"/>
      <w:footerReference r:id="rId4" w:type="default"/>
      <w:footerReference r:id="rId5" w:type="even"/>
      <w:pgSz w:w="11906" w:h="16838"/>
      <w:pgMar w:top="2098" w:right="1474" w:bottom="1984" w:left="1587" w:header="851" w:footer="1417"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10546D-56AB-4EB7-9019-B7E16D472C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2" w:fontKey="{7593657E-4DC0-4E98-8B3E-60DDE426C249}"/>
  </w:font>
  <w:font w:name="仿宋_GB2312">
    <w:panose1 w:val="02010609030101010101"/>
    <w:charset w:val="86"/>
    <w:family w:val="modern"/>
    <w:pitch w:val="default"/>
    <w:sig w:usb0="00000001" w:usb1="080E0000" w:usb2="00000000" w:usb3="00000000" w:csb0="00040000" w:csb1="00000000"/>
    <w:embedRegular r:id="rId3" w:fontKey="{64F41DFB-75FC-41BB-A964-6D0880F0C6BA}"/>
  </w:font>
  <w:font w:name="仿宋">
    <w:panose1 w:val="02010609060101010101"/>
    <w:charset w:val="86"/>
    <w:family w:val="modern"/>
    <w:pitch w:val="default"/>
    <w:sig w:usb0="800002BF" w:usb1="38CF7CFA" w:usb2="00000016" w:usb3="00000000" w:csb0="00040001" w:csb1="00000000"/>
    <w:embedRegular r:id="rId4" w:fontKey="{464726DF-A87F-47D5-878F-59337EEE3AE7}"/>
  </w:font>
  <w:font w:name="楷体_GB2312">
    <w:altName w:val="楷体"/>
    <w:panose1 w:val="02010609030101010101"/>
    <w:charset w:val="86"/>
    <w:family w:val="modern"/>
    <w:pitch w:val="default"/>
    <w:sig w:usb0="00000000" w:usb1="00000000" w:usb2="00000000" w:usb3="00000000" w:csb0="00040000" w:csb1="00000000"/>
    <w:embedRegular r:id="rId5" w:fontKey="{CF5C663B-C2C5-4282-811E-725EAFCA055D}"/>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9704A">
    <w:pPr>
      <w:pStyle w:val="7"/>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28AD9F5">
                          <w:pPr>
                            <w:pStyle w:val="7"/>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AzqkHTmAQAAxwMA&#10;AA4AAAAAAAAAAQAgAAAAHgEAAGRycy9lMm9Eb2MueG1sUEsFBgAAAAAGAAYAWQEAAHYFAAAAAA==&#10;">
              <v:fill on="f" focussize="0,0"/>
              <v:stroke on="f"/>
              <v:imagedata o:title=""/>
              <o:lock v:ext="edit" aspectratio="f"/>
              <v:textbox inset="0mm,0mm,0mm,0mm" style="mso-fit-shape-to-text:t;">
                <w:txbxContent>
                  <w:p w14:paraId="328AD9F5">
                    <w:pPr>
                      <w:pStyle w:val="7"/>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v:textbox>
            </v:shape>
          </w:pict>
        </mc:Fallback>
      </mc:AlternateContent>
    </w:r>
  </w:p>
  <w:p w14:paraId="3BA2A9EE">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910F">
    <w:pPr>
      <w:pStyle w:val="7"/>
      <w:framePr w:wrap="around" w:vAnchor="text" w:hAnchor="margin" w:xAlign="center" w:y="1"/>
      <w:rPr>
        <w:rStyle w:val="14"/>
      </w:rPr>
    </w:pPr>
    <w:r>
      <w:fldChar w:fldCharType="begin"/>
    </w:r>
    <w:r>
      <w:rPr>
        <w:rStyle w:val="14"/>
      </w:rPr>
      <w:instrText xml:space="preserve">PAGE  </w:instrText>
    </w:r>
    <w:r>
      <w:fldChar w:fldCharType="end"/>
    </w:r>
  </w:p>
  <w:p w14:paraId="7F34C987">
    <w:pPr>
      <w:pStyle w:val="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D635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50623C"/>
    <w:multiLevelType w:val="singleLevel"/>
    <w:tmpl w:val="6050623C"/>
    <w:lvl w:ilvl="0" w:tentative="0">
      <w:start w:val="1"/>
      <w:numFmt w:val="chineseCounting"/>
      <w:suff w:val="nothing"/>
      <w:lvlText w:val="（%1）"/>
      <w:lvlJc w:val="left"/>
    </w:lvl>
  </w:abstractNum>
  <w:abstractNum w:abstractNumId="1">
    <w:nsid w:val="605075A6"/>
    <w:multiLevelType w:val="singleLevel"/>
    <w:tmpl w:val="605075A6"/>
    <w:lvl w:ilvl="0" w:tentative="0">
      <w:start w:val="1"/>
      <w:numFmt w:val="chineseCounting"/>
      <w:suff w:val="nothing"/>
      <w:lvlText w:val="%1、"/>
      <w:lvlJc w:val="left"/>
    </w:lvl>
  </w:abstractNum>
  <w:abstractNum w:abstractNumId="2">
    <w:nsid w:val="6050769A"/>
    <w:multiLevelType w:val="singleLevel"/>
    <w:tmpl w:val="6050769A"/>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85AD4"/>
    <w:rsid w:val="000371A3"/>
    <w:rsid w:val="00042409"/>
    <w:rsid w:val="00063335"/>
    <w:rsid w:val="000737E5"/>
    <w:rsid w:val="00075FEF"/>
    <w:rsid w:val="000B7E2F"/>
    <w:rsid w:val="0010676D"/>
    <w:rsid w:val="001077C7"/>
    <w:rsid w:val="00165153"/>
    <w:rsid w:val="00181B32"/>
    <w:rsid w:val="001B3DE5"/>
    <w:rsid w:val="00215658"/>
    <w:rsid w:val="0022055C"/>
    <w:rsid w:val="002524AB"/>
    <w:rsid w:val="00295D13"/>
    <w:rsid w:val="00297BCB"/>
    <w:rsid w:val="002B1346"/>
    <w:rsid w:val="002B47EC"/>
    <w:rsid w:val="002C431D"/>
    <w:rsid w:val="002D0349"/>
    <w:rsid w:val="002D3B9B"/>
    <w:rsid w:val="00386029"/>
    <w:rsid w:val="00386DC1"/>
    <w:rsid w:val="003916E7"/>
    <w:rsid w:val="00413BA0"/>
    <w:rsid w:val="00414545"/>
    <w:rsid w:val="0043327B"/>
    <w:rsid w:val="004909F4"/>
    <w:rsid w:val="00490BB4"/>
    <w:rsid w:val="004D3BAD"/>
    <w:rsid w:val="004E4951"/>
    <w:rsid w:val="00527224"/>
    <w:rsid w:val="005305C9"/>
    <w:rsid w:val="00531AB3"/>
    <w:rsid w:val="00565918"/>
    <w:rsid w:val="00585C44"/>
    <w:rsid w:val="005B5989"/>
    <w:rsid w:val="005C4FB3"/>
    <w:rsid w:val="005C7AE3"/>
    <w:rsid w:val="005D1979"/>
    <w:rsid w:val="005F10F0"/>
    <w:rsid w:val="00601B73"/>
    <w:rsid w:val="0061360A"/>
    <w:rsid w:val="006620C2"/>
    <w:rsid w:val="0066438C"/>
    <w:rsid w:val="00682237"/>
    <w:rsid w:val="00687183"/>
    <w:rsid w:val="006A4EDE"/>
    <w:rsid w:val="006B77CF"/>
    <w:rsid w:val="007001D5"/>
    <w:rsid w:val="00707203"/>
    <w:rsid w:val="00796A4A"/>
    <w:rsid w:val="007C18F4"/>
    <w:rsid w:val="007C4316"/>
    <w:rsid w:val="00810336"/>
    <w:rsid w:val="008214C4"/>
    <w:rsid w:val="00844136"/>
    <w:rsid w:val="00846325"/>
    <w:rsid w:val="008A3A1E"/>
    <w:rsid w:val="008A76C7"/>
    <w:rsid w:val="008D1FD9"/>
    <w:rsid w:val="0090090B"/>
    <w:rsid w:val="0091504E"/>
    <w:rsid w:val="009421FA"/>
    <w:rsid w:val="00960877"/>
    <w:rsid w:val="009B0938"/>
    <w:rsid w:val="009B680E"/>
    <w:rsid w:val="009C57FF"/>
    <w:rsid w:val="00A2780C"/>
    <w:rsid w:val="00A44271"/>
    <w:rsid w:val="00A643C5"/>
    <w:rsid w:val="00AB3574"/>
    <w:rsid w:val="00AC04F0"/>
    <w:rsid w:val="00AD7810"/>
    <w:rsid w:val="00AF0462"/>
    <w:rsid w:val="00B01000"/>
    <w:rsid w:val="00B13F3F"/>
    <w:rsid w:val="00B140C1"/>
    <w:rsid w:val="00B53B67"/>
    <w:rsid w:val="00B7404B"/>
    <w:rsid w:val="00B8676C"/>
    <w:rsid w:val="00B94E13"/>
    <w:rsid w:val="00BA1D71"/>
    <w:rsid w:val="00BF6AA7"/>
    <w:rsid w:val="00C2228D"/>
    <w:rsid w:val="00C54125"/>
    <w:rsid w:val="00C71F92"/>
    <w:rsid w:val="00CA6852"/>
    <w:rsid w:val="00CF2EDF"/>
    <w:rsid w:val="00CF3C22"/>
    <w:rsid w:val="00D0664D"/>
    <w:rsid w:val="00DA2D3D"/>
    <w:rsid w:val="00DC1B40"/>
    <w:rsid w:val="00DC6F8F"/>
    <w:rsid w:val="00DE445B"/>
    <w:rsid w:val="00E01D98"/>
    <w:rsid w:val="00E168CA"/>
    <w:rsid w:val="00E426CF"/>
    <w:rsid w:val="00E8275D"/>
    <w:rsid w:val="00E92516"/>
    <w:rsid w:val="00E976C1"/>
    <w:rsid w:val="00EB2664"/>
    <w:rsid w:val="00EC18A5"/>
    <w:rsid w:val="00EF486E"/>
    <w:rsid w:val="00EF586A"/>
    <w:rsid w:val="00F91EB8"/>
    <w:rsid w:val="00F93C88"/>
    <w:rsid w:val="00F94C73"/>
    <w:rsid w:val="00FA483A"/>
    <w:rsid w:val="00FC46A6"/>
    <w:rsid w:val="00FC6B3E"/>
    <w:rsid w:val="00FD72D4"/>
    <w:rsid w:val="00FF1291"/>
    <w:rsid w:val="019B0D1E"/>
    <w:rsid w:val="01CA46D6"/>
    <w:rsid w:val="02FB6038"/>
    <w:rsid w:val="03E13A35"/>
    <w:rsid w:val="04133815"/>
    <w:rsid w:val="048B349B"/>
    <w:rsid w:val="052A627F"/>
    <w:rsid w:val="056B29EA"/>
    <w:rsid w:val="062C4255"/>
    <w:rsid w:val="08810B72"/>
    <w:rsid w:val="08E70E16"/>
    <w:rsid w:val="090D6992"/>
    <w:rsid w:val="098012E5"/>
    <w:rsid w:val="09D450E9"/>
    <w:rsid w:val="0A027F3E"/>
    <w:rsid w:val="0A0C063F"/>
    <w:rsid w:val="0B033F6E"/>
    <w:rsid w:val="0B03482D"/>
    <w:rsid w:val="0B272F58"/>
    <w:rsid w:val="0B7D1537"/>
    <w:rsid w:val="0B940544"/>
    <w:rsid w:val="0BAC0330"/>
    <w:rsid w:val="0BC40B66"/>
    <w:rsid w:val="0BE273BD"/>
    <w:rsid w:val="0BFA329B"/>
    <w:rsid w:val="0CA46F7A"/>
    <w:rsid w:val="0CD31AE0"/>
    <w:rsid w:val="0CEA07DF"/>
    <w:rsid w:val="0D3349DB"/>
    <w:rsid w:val="0DCC1A00"/>
    <w:rsid w:val="0E8D30FE"/>
    <w:rsid w:val="0E9B6F2C"/>
    <w:rsid w:val="0EF95AB2"/>
    <w:rsid w:val="0F0562D2"/>
    <w:rsid w:val="0F5955F8"/>
    <w:rsid w:val="0F9002D1"/>
    <w:rsid w:val="0FC91EBC"/>
    <w:rsid w:val="113275E7"/>
    <w:rsid w:val="11E40571"/>
    <w:rsid w:val="1225652C"/>
    <w:rsid w:val="12422615"/>
    <w:rsid w:val="12607F35"/>
    <w:rsid w:val="13052C0E"/>
    <w:rsid w:val="139F2AB0"/>
    <w:rsid w:val="13A12327"/>
    <w:rsid w:val="13BD10C1"/>
    <w:rsid w:val="1447585A"/>
    <w:rsid w:val="14974078"/>
    <w:rsid w:val="14AB0F45"/>
    <w:rsid w:val="14D24BF6"/>
    <w:rsid w:val="15D73B89"/>
    <w:rsid w:val="166D504D"/>
    <w:rsid w:val="16F54679"/>
    <w:rsid w:val="16FF6C06"/>
    <w:rsid w:val="175D3614"/>
    <w:rsid w:val="176F2078"/>
    <w:rsid w:val="17B92B64"/>
    <w:rsid w:val="181D3F8E"/>
    <w:rsid w:val="184A2BD7"/>
    <w:rsid w:val="196669B5"/>
    <w:rsid w:val="1A707404"/>
    <w:rsid w:val="1A8F277C"/>
    <w:rsid w:val="1AB00898"/>
    <w:rsid w:val="1AC66C1D"/>
    <w:rsid w:val="1ADA6D15"/>
    <w:rsid w:val="1B265DC9"/>
    <w:rsid w:val="1B7C4892"/>
    <w:rsid w:val="1BEA290C"/>
    <w:rsid w:val="1C3D5A77"/>
    <w:rsid w:val="1C8455E5"/>
    <w:rsid w:val="1CB3126A"/>
    <w:rsid w:val="1CEC0ECC"/>
    <w:rsid w:val="1CF01138"/>
    <w:rsid w:val="1D365591"/>
    <w:rsid w:val="1D5A290E"/>
    <w:rsid w:val="1D5B0EA9"/>
    <w:rsid w:val="1DEB041A"/>
    <w:rsid w:val="1E281632"/>
    <w:rsid w:val="1E347777"/>
    <w:rsid w:val="1E4A22D3"/>
    <w:rsid w:val="1E75182B"/>
    <w:rsid w:val="1E97435D"/>
    <w:rsid w:val="1EAE4B43"/>
    <w:rsid w:val="1FBA144C"/>
    <w:rsid w:val="1FC575FA"/>
    <w:rsid w:val="1FD47D65"/>
    <w:rsid w:val="1FF878FE"/>
    <w:rsid w:val="200D127A"/>
    <w:rsid w:val="202E49E3"/>
    <w:rsid w:val="20FC5B25"/>
    <w:rsid w:val="211C3A31"/>
    <w:rsid w:val="21563364"/>
    <w:rsid w:val="21B62653"/>
    <w:rsid w:val="21E56062"/>
    <w:rsid w:val="224D4E4E"/>
    <w:rsid w:val="22D831F1"/>
    <w:rsid w:val="22E777CE"/>
    <w:rsid w:val="23F13DAE"/>
    <w:rsid w:val="23F62B89"/>
    <w:rsid w:val="246D02D7"/>
    <w:rsid w:val="24B833DF"/>
    <w:rsid w:val="252917E2"/>
    <w:rsid w:val="256635B2"/>
    <w:rsid w:val="25A50F43"/>
    <w:rsid w:val="261D40EB"/>
    <w:rsid w:val="2665363C"/>
    <w:rsid w:val="26C3580F"/>
    <w:rsid w:val="28222DA0"/>
    <w:rsid w:val="285C08E8"/>
    <w:rsid w:val="28CA47D7"/>
    <w:rsid w:val="28CC300D"/>
    <w:rsid w:val="29307777"/>
    <w:rsid w:val="296B17BB"/>
    <w:rsid w:val="297D2290"/>
    <w:rsid w:val="29984B70"/>
    <w:rsid w:val="299E3C51"/>
    <w:rsid w:val="29C1644F"/>
    <w:rsid w:val="29C26D0A"/>
    <w:rsid w:val="2B1550DC"/>
    <w:rsid w:val="2B391EBF"/>
    <w:rsid w:val="2BDD062D"/>
    <w:rsid w:val="2BEB7BD0"/>
    <w:rsid w:val="2C1D263F"/>
    <w:rsid w:val="2C2B0660"/>
    <w:rsid w:val="2C7849F7"/>
    <w:rsid w:val="2D0226B8"/>
    <w:rsid w:val="2D2D5113"/>
    <w:rsid w:val="2DA83B38"/>
    <w:rsid w:val="2DE04B8E"/>
    <w:rsid w:val="2E122F3D"/>
    <w:rsid w:val="2E9239BC"/>
    <w:rsid w:val="2F752FD3"/>
    <w:rsid w:val="2FA077E9"/>
    <w:rsid w:val="309F713A"/>
    <w:rsid w:val="312E5EF8"/>
    <w:rsid w:val="31544914"/>
    <w:rsid w:val="315A1BE3"/>
    <w:rsid w:val="317E56CB"/>
    <w:rsid w:val="31D447FD"/>
    <w:rsid w:val="31F7461F"/>
    <w:rsid w:val="327A5AEE"/>
    <w:rsid w:val="32E21E7A"/>
    <w:rsid w:val="330B5788"/>
    <w:rsid w:val="34182211"/>
    <w:rsid w:val="34580408"/>
    <w:rsid w:val="34EF4CD0"/>
    <w:rsid w:val="34F63996"/>
    <w:rsid w:val="360B2F05"/>
    <w:rsid w:val="36522746"/>
    <w:rsid w:val="36EF4F29"/>
    <w:rsid w:val="37783DCF"/>
    <w:rsid w:val="37B811A6"/>
    <w:rsid w:val="37C92041"/>
    <w:rsid w:val="391E6BC6"/>
    <w:rsid w:val="3AA65DCF"/>
    <w:rsid w:val="3BCB1CC6"/>
    <w:rsid w:val="3CD41BC0"/>
    <w:rsid w:val="3CDF6B87"/>
    <w:rsid w:val="3CF61BA4"/>
    <w:rsid w:val="3D4860A7"/>
    <w:rsid w:val="3D856DC9"/>
    <w:rsid w:val="3DDE379B"/>
    <w:rsid w:val="3E412690"/>
    <w:rsid w:val="3E5D5002"/>
    <w:rsid w:val="3EA412C7"/>
    <w:rsid w:val="3F264D18"/>
    <w:rsid w:val="3F860CD4"/>
    <w:rsid w:val="3FB877AA"/>
    <w:rsid w:val="40BF0C55"/>
    <w:rsid w:val="418C1107"/>
    <w:rsid w:val="41C24E81"/>
    <w:rsid w:val="42233C23"/>
    <w:rsid w:val="42306630"/>
    <w:rsid w:val="4234009B"/>
    <w:rsid w:val="42706110"/>
    <w:rsid w:val="42DE2913"/>
    <w:rsid w:val="435B2B4B"/>
    <w:rsid w:val="435F0608"/>
    <w:rsid w:val="43B05950"/>
    <w:rsid w:val="44287A48"/>
    <w:rsid w:val="45020DE4"/>
    <w:rsid w:val="454016AD"/>
    <w:rsid w:val="45550E2E"/>
    <w:rsid w:val="4573725E"/>
    <w:rsid w:val="45A43505"/>
    <w:rsid w:val="45A57941"/>
    <w:rsid w:val="463F1660"/>
    <w:rsid w:val="4782174B"/>
    <w:rsid w:val="495B2949"/>
    <w:rsid w:val="4A2B0AAB"/>
    <w:rsid w:val="4A7A10B6"/>
    <w:rsid w:val="4B5A2E0A"/>
    <w:rsid w:val="4B7C407E"/>
    <w:rsid w:val="4BAF6A5E"/>
    <w:rsid w:val="4BBC0C8C"/>
    <w:rsid w:val="4C271AC6"/>
    <w:rsid w:val="4C3624F1"/>
    <w:rsid w:val="4C3D66AF"/>
    <w:rsid w:val="4EEC7215"/>
    <w:rsid w:val="4F4B2F05"/>
    <w:rsid w:val="4F525C55"/>
    <w:rsid w:val="4F835BE9"/>
    <w:rsid w:val="4FC70F75"/>
    <w:rsid w:val="4FE150F3"/>
    <w:rsid w:val="4FF14027"/>
    <w:rsid w:val="4FF53813"/>
    <w:rsid w:val="50786943"/>
    <w:rsid w:val="50FB7752"/>
    <w:rsid w:val="52156AC5"/>
    <w:rsid w:val="53252006"/>
    <w:rsid w:val="534764E9"/>
    <w:rsid w:val="53E85F99"/>
    <w:rsid w:val="53EC3364"/>
    <w:rsid w:val="54507DE6"/>
    <w:rsid w:val="548E0AB8"/>
    <w:rsid w:val="549E54EB"/>
    <w:rsid w:val="54A12BA7"/>
    <w:rsid w:val="54AC3F71"/>
    <w:rsid w:val="562A7A6B"/>
    <w:rsid w:val="562C70BF"/>
    <w:rsid w:val="5670494D"/>
    <w:rsid w:val="56DB41C3"/>
    <w:rsid w:val="571B0676"/>
    <w:rsid w:val="57243BCE"/>
    <w:rsid w:val="57462FD2"/>
    <w:rsid w:val="574934A8"/>
    <w:rsid w:val="57805D41"/>
    <w:rsid w:val="57C51322"/>
    <w:rsid w:val="57DA0362"/>
    <w:rsid w:val="5809335C"/>
    <w:rsid w:val="581B18B7"/>
    <w:rsid w:val="58396646"/>
    <w:rsid w:val="586B689E"/>
    <w:rsid w:val="58EA53DC"/>
    <w:rsid w:val="59435224"/>
    <w:rsid w:val="5A1757E4"/>
    <w:rsid w:val="5A1C4B7C"/>
    <w:rsid w:val="5A3A24CC"/>
    <w:rsid w:val="5AAF6DF4"/>
    <w:rsid w:val="5AD85FB1"/>
    <w:rsid w:val="5B6A170E"/>
    <w:rsid w:val="5B760DC6"/>
    <w:rsid w:val="5BDF156E"/>
    <w:rsid w:val="5C3E67B4"/>
    <w:rsid w:val="5C5C782C"/>
    <w:rsid w:val="5C7C27AC"/>
    <w:rsid w:val="5D5478E6"/>
    <w:rsid w:val="5E5E4628"/>
    <w:rsid w:val="5EA03BCD"/>
    <w:rsid w:val="5EAE1426"/>
    <w:rsid w:val="5EEB538A"/>
    <w:rsid w:val="5F11728C"/>
    <w:rsid w:val="5F467CE5"/>
    <w:rsid w:val="5FBE2050"/>
    <w:rsid w:val="608D4D1C"/>
    <w:rsid w:val="60943E53"/>
    <w:rsid w:val="60A94389"/>
    <w:rsid w:val="60DF3806"/>
    <w:rsid w:val="60F25B19"/>
    <w:rsid w:val="61192009"/>
    <w:rsid w:val="628566E6"/>
    <w:rsid w:val="636B4DB9"/>
    <w:rsid w:val="64A74CDC"/>
    <w:rsid w:val="64D01D27"/>
    <w:rsid w:val="64E47990"/>
    <w:rsid w:val="65EE58F4"/>
    <w:rsid w:val="65FF17B9"/>
    <w:rsid w:val="6691387B"/>
    <w:rsid w:val="66930FE1"/>
    <w:rsid w:val="67385AD4"/>
    <w:rsid w:val="677D230A"/>
    <w:rsid w:val="693047A1"/>
    <w:rsid w:val="69FF3159"/>
    <w:rsid w:val="6A7F6C55"/>
    <w:rsid w:val="6AB452A3"/>
    <w:rsid w:val="6ADA1B68"/>
    <w:rsid w:val="6B4C634A"/>
    <w:rsid w:val="6B963B40"/>
    <w:rsid w:val="6CFA4984"/>
    <w:rsid w:val="6D022F52"/>
    <w:rsid w:val="6D281311"/>
    <w:rsid w:val="6D63418D"/>
    <w:rsid w:val="6DCD2663"/>
    <w:rsid w:val="6E8B6651"/>
    <w:rsid w:val="6F3347FF"/>
    <w:rsid w:val="6F9B5D5D"/>
    <w:rsid w:val="6FFE7B8C"/>
    <w:rsid w:val="701906C2"/>
    <w:rsid w:val="705B4FDC"/>
    <w:rsid w:val="70B84A93"/>
    <w:rsid w:val="711E6CC9"/>
    <w:rsid w:val="71882754"/>
    <w:rsid w:val="71A37DFB"/>
    <w:rsid w:val="71F4219B"/>
    <w:rsid w:val="72811307"/>
    <w:rsid w:val="73DA3B17"/>
    <w:rsid w:val="7414734D"/>
    <w:rsid w:val="74C14D2B"/>
    <w:rsid w:val="74C43D50"/>
    <w:rsid w:val="751D6D7C"/>
    <w:rsid w:val="753F69EF"/>
    <w:rsid w:val="758E2723"/>
    <w:rsid w:val="75DD4A1F"/>
    <w:rsid w:val="75FD6F9E"/>
    <w:rsid w:val="7663125B"/>
    <w:rsid w:val="76D450D0"/>
    <w:rsid w:val="78AA2181"/>
    <w:rsid w:val="78CB2851"/>
    <w:rsid w:val="79076AA1"/>
    <w:rsid w:val="79470370"/>
    <w:rsid w:val="79516081"/>
    <w:rsid w:val="7A6C4630"/>
    <w:rsid w:val="7A770DD7"/>
    <w:rsid w:val="7ABF71A2"/>
    <w:rsid w:val="7AC21453"/>
    <w:rsid w:val="7ACB539D"/>
    <w:rsid w:val="7B364120"/>
    <w:rsid w:val="7B39584B"/>
    <w:rsid w:val="7B640FA4"/>
    <w:rsid w:val="7B6477AA"/>
    <w:rsid w:val="7B747F88"/>
    <w:rsid w:val="7B763A33"/>
    <w:rsid w:val="7BA42D5C"/>
    <w:rsid w:val="7BC01697"/>
    <w:rsid w:val="7C4113FE"/>
    <w:rsid w:val="7C923A8A"/>
    <w:rsid w:val="7C97001D"/>
    <w:rsid w:val="7CAE2A07"/>
    <w:rsid w:val="7CD71608"/>
    <w:rsid w:val="7D1E4257"/>
    <w:rsid w:val="7E0E28CC"/>
    <w:rsid w:val="7E9D0A86"/>
    <w:rsid w:val="7EA245E1"/>
    <w:rsid w:val="7F4515B1"/>
    <w:rsid w:val="7F496D02"/>
    <w:rsid w:val="7F6A37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5">
    <w:name w:val="heading 2"/>
    <w:basedOn w:val="1"/>
    <w:next w:val="1"/>
    <w:qFormat/>
    <w:uiPriority w:val="1"/>
    <w:pPr>
      <w:ind w:left="158" w:right="275" w:hanging="2420"/>
      <w:outlineLvl w:val="1"/>
    </w:pPr>
    <w:rPr>
      <w:rFonts w:ascii="方正小标宋简体" w:hAnsi="方正小标宋简体" w:eastAsia="方正小标宋简体" w:cs="方正小标宋简体"/>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BodyText"/>
    <w:next w:val="3"/>
    <w:qFormat/>
    <w:uiPriority w:val="0"/>
    <w:pPr>
      <w:ind w:left="102"/>
      <w:jc w:val="both"/>
      <w:textAlignment w:val="baseline"/>
    </w:pPr>
    <w:rPr>
      <w:rFonts w:ascii="宋体" w:hAnsi="宋体" w:eastAsia="宋体" w:cs="Times New Roman"/>
      <w:kern w:val="2"/>
      <w:sz w:val="29"/>
      <w:szCs w:val="24"/>
      <w:lang w:val="en-US" w:eastAsia="zh-CN" w:bidi="ar-SA"/>
    </w:rPr>
  </w:style>
  <w:style w:type="paragraph" w:customStyle="1" w:styleId="3">
    <w:name w:val="181"/>
    <w:next w:val="1"/>
    <w:qFormat/>
    <w:uiPriority w:val="0"/>
    <w:pPr>
      <w:spacing w:before="360" w:after="360"/>
      <w:ind w:left="950" w:right="950"/>
      <w:jc w:val="center"/>
      <w:textAlignment w:val="baseline"/>
    </w:pPr>
    <w:rPr>
      <w:rFonts w:ascii="Times New Roman" w:hAnsi="Times New Roman" w:eastAsia="宋体" w:cs="Times New Roman"/>
      <w:i/>
      <w:kern w:val="2"/>
      <w:sz w:val="21"/>
      <w:szCs w:val="24"/>
      <w:lang w:val="en-US" w:eastAsia="zh-CN" w:bidi="ar-SA"/>
    </w:rPr>
  </w:style>
  <w:style w:type="paragraph" w:styleId="6">
    <w:name w:val="Body Text"/>
    <w:basedOn w:val="1"/>
    <w:unhideWhenUsed/>
    <w:qFormat/>
    <w:uiPriority w:val="1"/>
    <w:pPr>
      <w:ind w:left="118"/>
    </w:pPr>
    <w:rPr>
      <w:rFonts w:ascii="仿宋_GB2312" w:eastAsia="仿宋_GB2312"/>
      <w:sz w:val="32"/>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6</Pages>
  <Words>1938</Words>
  <Characters>1985</Characters>
  <Lines>14</Lines>
  <Paragraphs>4</Paragraphs>
  <TotalTime>0</TotalTime>
  <ScaleCrop>false</ScaleCrop>
  <LinksUpToDate>false</LinksUpToDate>
  <CharactersWithSpaces>2028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2020-05-29T01:27:00Z</dcterms:created>
  <dc:creator>顾丽娟</dc:creator>
  <cp:lastModifiedBy>A这是账号</cp:lastModifiedBy>
  <cp:lastPrinted>2021-05-31T03:33:00Z</cp:lastPrinted>
  <dcterms:modified xsi:type="dcterms:W3CDTF">2026-09-18T00:59:20Z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614F133644DA410B9668D64C86D04517</vt:lpwstr>
  </property>
  <property fmtid="{D5CDD505-2E9C-101B-9397-08002B2CF9AE}" pid="4" name="KSOTemplateDocerSaveRecord">
    <vt:lpwstr>eyJoZGlkIjoiYzVhMTJhNTM2ZDBiYjFmMWYyMDY2OTBmOWJmMjllMmQiLCJ1c2VySWQiOiIyMDczMzU3NDEifQ==</vt:lpwstr>
  </property>
</Properties>
</file>