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39E" w:rsidRDefault="00976C0B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EA739E" w:rsidRDefault="00976C0B">
      <w:pPr>
        <w:snapToGrid w:val="0"/>
        <w:jc w:val="center"/>
        <w:rPr>
          <w:rFonts w:ascii="仿宋_GB2312" w:eastAsia="仿宋_GB2312"/>
          <w:sz w:val="30"/>
          <w:szCs w:val="30"/>
        </w:rPr>
      </w:pPr>
      <w:r>
        <w:rPr>
          <w:rFonts w:ascii="方正小标宋简体" w:eastAsia="方正小标宋简体" w:hint="eastAsia"/>
          <w:sz w:val="44"/>
          <w:szCs w:val="44"/>
        </w:rPr>
        <w:t>2018</w:t>
      </w:r>
      <w:r>
        <w:rPr>
          <w:rFonts w:ascii="方正小标宋简体" w:eastAsia="方正小标宋简体" w:hint="eastAsia"/>
          <w:sz w:val="44"/>
          <w:szCs w:val="44"/>
        </w:rPr>
        <w:t>—</w:t>
      </w:r>
      <w:r>
        <w:rPr>
          <w:rFonts w:ascii="方正小标宋简体" w:eastAsia="方正小标宋简体" w:hint="eastAsia"/>
          <w:sz w:val="44"/>
          <w:szCs w:val="44"/>
        </w:rPr>
        <w:t>2019</w:t>
      </w:r>
      <w:r>
        <w:rPr>
          <w:rFonts w:ascii="方正小标宋简体" w:eastAsia="方正小标宋简体" w:hint="eastAsia"/>
          <w:sz w:val="44"/>
          <w:szCs w:val="44"/>
        </w:rPr>
        <w:t>年发行的新增政府一般债券情况表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1529"/>
        <w:gridCol w:w="1065"/>
        <w:gridCol w:w="837"/>
        <w:gridCol w:w="958"/>
        <w:gridCol w:w="1124"/>
        <w:gridCol w:w="748"/>
        <w:gridCol w:w="717"/>
        <w:gridCol w:w="972"/>
        <w:gridCol w:w="958"/>
        <w:gridCol w:w="763"/>
        <w:gridCol w:w="826"/>
        <w:gridCol w:w="734"/>
        <w:gridCol w:w="803"/>
        <w:gridCol w:w="760"/>
        <w:gridCol w:w="674"/>
      </w:tblGrid>
      <w:tr w:rsidR="00EA739E" w:rsidTr="00976C0B"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9E" w:rsidRDefault="00976C0B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部门名称</w:t>
            </w:r>
          </w:p>
        </w:tc>
        <w:tc>
          <w:tcPr>
            <w:tcW w:w="24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9E" w:rsidRDefault="00976C0B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债券信息</w:t>
            </w:r>
          </w:p>
        </w:tc>
        <w:tc>
          <w:tcPr>
            <w:tcW w:w="1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9E" w:rsidRDefault="00976C0B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债券项目情况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39E" w:rsidRDefault="00976C0B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运营状态</w:t>
            </w:r>
            <w:r>
              <w:rPr>
                <w:rFonts w:ascii="黑体" w:eastAsia="黑体" w:hAnsi="黑体" w:hint="eastAsia"/>
                <w:spacing w:val="-20"/>
                <w:sz w:val="22"/>
              </w:rPr>
              <w:t>（未运营</w:t>
            </w:r>
            <w:r>
              <w:rPr>
                <w:rFonts w:ascii="黑体" w:eastAsia="黑体" w:hAnsi="黑体" w:hint="eastAsia"/>
                <w:spacing w:val="-20"/>
                <w:sz w:val="22"/>
              </w:rPr>
              <w:t>/</w:t>
            </w:r>
            <w:r>
              <w:rPr>
                <w:rFonts w:ascii="黑体" w:eastAsia="黑体" w:hAnsi="黑体" w:hint="eastAsia"/>
                <w:spacing w:val="-20"/>
                <w:sz w:val="22"/>
              </w:rPr>
              <w:t>正常运营）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9E" w:rsidRDefault="00976C0B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EA739E" w:rsidTr="00976C0B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9E" w:rsidRDefault="00EA739E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9E" w:rsidRDefault="00976C0B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债券名称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9E" w:rsidRDefault="00976C0B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债券编码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9E" w:rsidRDefault="00976C0B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债券类型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9E" w:rsidRDefault="00976C0B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债券</w:t>
            </w:r>
          </w:p>
          <w:p w:rsidR="00EA739E" w:rsidRDefault="00976C0B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规模</w:t>
            </w:r>
          </w:p>
          <w:p w:rsidR="00EA739E" w:rsidRDefault="00976C0B">
            <w:pPr>
              <w:snapToGrid w:val="0"/>
              <w:jc w:val="center"/>
              <w:rPr>
                <w:rFonts w:ascii="黑体" w:eastAsia="黑体" w:hAnsi="黑体"/>
                <w:spacing w:val="-2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9E" w:rsidRDefault="00976C0B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发行时间</w:t>
            </w:r>
          </w:p>
          <w:p w:rsidR="00EA739E" w:rsidRDefault="00976C0B">
            <w:pPr>
              <w:snapToGrid w:val="0"/>
              <w:jc w:val="center"/>
              <w:rPr>
                <w:rFonts w:ascii="黑体" w:eastAsia="黑体" w:hAnsi="黑体"/>
                <w:spacing w:val="-2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20"/>
                <w:sz w:val="24"/>
                <w:szCs w:val="24"/>
              </w:rPr>
              <w:t>（年</w:t>
            </w:r>
            <w:r>
              <w:rPr>
                <w:rFonts w:ascii="黑体" w:eastAsia="黑体" w:hAnsi="黑体" w:hint="eastAsia"/>
                <w:spacing w:val="-20"/>
                <w:sz w:val="24"/>
                <w:szCs w:val="24"/>
              </w:rPr>
              <w:t>/</w:t>
            </w:r>
            <w:r>
              <w:rPr>
                <w:rFonts w:ascii="黑体" w:eastAsia="黑体" w:hAnsi="黑体" w:hint="eastAsia"/>
                <w:spacing w:val="-20"/>
                <w:sz w:val="24"/>
                <w:szCs w:val="24"/>
              </w:rPr>
              <w:t>月</w:t>
            </w:r>
            <w:r>
              <w:rPr>
                <w:rFonts w:ascii="黑体" w:eastAsia="黑体" w:hAnsi="黑体" w:hint="eastAsia"/>
                <w:spacing w:val="-20"/>
                <w:sz w:val="24"/>
                <w:szCs w:val="24"/>
              </w:rPr>
              <w:t>/</w:t>
            </w:r>
            <w:r>
              <w:rPr>
                <w:rFonts w:ascii="黑体" w:eastAsia="黑体" w:hAnsi="黑体" w:hint="eastAsia"/>
                <w:spacing w:val="-20"/>
                <w:sz w:val="24"/>
                <w:szCs w:val="24"/>
              </w:rPr>
              <w:t>日）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9E" w:rsidRDefault="00976C0B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债券</w:t>
            </w:r>
          </w:p>
          <w:p w:rsidR="00EA739E" w:rsidRDefault="00976C0B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利率</w:t>
            </w:r>
          </w:p>
          <w:p w:rsidR="00EA739E" w:rsidRDefault="00976C0B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%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39E" w:rsidRDefault="00976C0B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债券</w:t>
            </w:r>
          </w:p>
          <w:p w:rsidR="00EA739E" w:rsidRDefault="00976C0B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期限</w:t>
            </w:r>
          </w:p>
          <w:p w:rsidR="00EA739E" w:rsidRDefault="00976C0B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（年）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39E" w:rsidRDefault="00976C0B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39E" w:rsidRDefault="00976C0B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项目所在地区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39E" w:rsidRDefault="00976C0B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项目总投资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39E" w:rsidRDefault="00976C0B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项目已实现投资</w:t>
            </w: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39E" w:rsidRDefault="00EA739E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9E" w:rsidRDefault="00EA739E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A739E" w:rsidTr="00976C0B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9E" w:rsidRDefault="00EA739E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9E" w:rsidRDefault="00EA739E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9E" w:rsidRDefault="00EA739E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9E" w:rsidRDefault="00EA739E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9E" w:rsidRDefault="00EA739E">
            <w:pPr>
              <w:widowControl/>
              <w:jc w:val="left"/>
              <w:rPr>
                <w:rFonts w:ascii="黑体" w:eastAsia="黑体" w:hAnsi="黑体"/>
                <w:spacing w:val="-20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9E" w:rsidRDefault="00EA739E">
            <w:pPr>
              <w:widowControl/>
              <w:jc w:val="left"/>
              <w:rPr>
                <w:rFonts w:ascii="黑体" w:eastAsia="黑体" w:hAnsi="黑体"/>
                <w:spacing w:val="-20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9E" w:rsidRDefault="00EA739E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9E" w:rsidRDefault="00EA739E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9E" w:rsidRDefault="00EA739E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9E" w:rsidRDefault="00EA739E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9E" w:rsidRDefault="00EA739E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9E" w:rsidRDefault="00976C0B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其中：债券资金安排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9E" w:rsidRDefault="00EA739E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9E" w:rsidRDefault="00976C0B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其中：债券资金安排</w:t>
            </w: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9E" w:rsidRDefault="00EA739E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9E" w:rsidRDefault="00EA739E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76C0B" w:rsidTr="00976C0B">
        <w:trPr>
          <w:trHeight w:val="156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0B" w:rsidRDefault="00976C0B" w:rsidP="00976C0B">
            <w:pPr>
              <w:snapToGrid w:val="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柳州市民政局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0B" w:rsidRDefault="00976C0B" w:rsidP="00976C0B">
            <w:pPr>
              <w:snapToGrid w:val="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2018年广西壮族自治区政府一般债券（四期）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0B" w:rsidRDefault="00976C0B" w:rsidP="00976C0B">
            <w:pPr>
              <w:snapToGrid w:val="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1805145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0B" w:rsidRDefault="00976C0B" w:rsidP="00976C0B">
            <w:pPr>
              <w:snapToGrid w:val="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一般债券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0B" w:rsidRDefault="00976C0B" w:rsidP="00976C0B">
            <w:pPr>
              <w:snapToGrid w:val="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260</w:t>
            </w:r>
            <w:bookmarkStart w:id="0" w:name="_GoBack"/>
            <w:bookmarkEnd w:id="0"/>
            <w:r>
              <w:rPr>
                <w:rFonts w:ascii="仿宋_GB2312" w:eastAsia="仿宋_GB2312" w:hAnsi="黑体" w:hint="eastAsia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0B" w:rsidRDefault="00976C0B" w:rsidP="00976C0B">
            <w:pPr>
              <w:snapToGrid w:val="0"/>
              <w:jc w:val="left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2018-7-18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0B" w:rsidRDefault="00976C0B" w:rsidP="00976C0B">
            <w:pPr>
              <w:snapToGrid w:val="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3.85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0B" w:rsidRDefault="00976C0B" w:rsidP="00976C0B">
            <w:pPr>
              <w:snapToGrid w:val="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5年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0B" w:rsidRDefault="00976C0B" w:rsidP="00976C0B">
            <w:pPr>
              <w:snapToGrid w:val="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柳州军用供应站军供大厦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0B" w:rsidRDefault="00976C0B" w:rsidP="00976C0B">
            <w:pPr>
              <w:snapToGrid w:val="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柳州市柳南区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0B" w:rsidRDefault="00976C0B" w:rsidP="00976C0B">
            <w:pPr>
              <w:snapToGrid w:val="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8480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0B" w:rsidRDefault="00976C0B" w:rsidP="00976C0B">
            <w:pPr>
              <w:snapToGrid w:val="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2600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0B" w:rsidRDefault="00976C0B" w:rsidP="00976C0B">
            <w:pPr>
              <w:snapToGrid w:val="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6700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0B" w:rsidRDefault="00976C0B" w:rsidP="00976C0B">
            <w:pPr>
              <w:snapToGrid w:val="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2600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0B" w:rsidRDefault="00976C0B" w:rsidP="00976C0B">
            <w:pPr>
              <w:snapToGrid w:val="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未运营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0B" w:rsidRDefault="00976C0B" w:rsidP="00976C0B">
            <w:pPr>
              <w:snapToGrid w:val="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EA739E" w:rsidTr="00976C0B">
        <w:trPr>
          <w:trHeight w:val="130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9E" w:rsidRDefault="00976C0B">
            <w:pPr>
              <w:snapToGrid w:val="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柳州市民政局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9E" w:rsidRDefault="00976C0B">
            <w:pPr>
              <w:snapToGrid w:val="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2019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年广西壮族自治区政府一般债券（三期）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9E" w:rsidRDefault="00976C0B">
            <w:pPr>
              <w:snapToGrid w:val="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104576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9E" w:rsidRDefault="00976C0B">
            <w:pPr>
              <w:snapToGrid w:val="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一般债券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9E" w:rsidRDefault="00976C0B">
            <w:pPr>
              <w:snapToGrid w:val="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5100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9E" w:rsidRDefault="00976C0B">
            <w:pPr>
              <w:snapToGrid w:val="0"/>
              <w:jc w:val="left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2019-3-28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9E" w:rsidRDefault="00976C0B">
            <w:pPr>
              <w:snapToGrid w:val="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3.37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9E" w:rsidRDefault="00976C0B">
            <w:pPr>
              <w:snapToGrid w:val="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7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9E" w:rsidRDefault="00976C0B">
            <w:pPr>
              <w:snapToGrid w:val="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柳州市烈士纪念馆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9E" w:rsidRDefault="00976C0B">
            <w:pPr>
              <w:snapToGrid w:val="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柳州市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9E" w:rsidRDefault="00976C0B">
            <w:pPr>
              <w:snapToGrid w:val="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15"/>
                <w:szCs w:val="15"/>
              </w:rPr>
              <w:t>1981.20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9E" w:rsidRDefault="00976C0B">
            <w:pPr>
              <w:snapToGrid w:val="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500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9E" w:rsidRDefault="00976C0B">
            <w:pPr>
              <w:snapToGrid w:val="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13"/>
                <w:szCs w:val="13"/>
              </w:rPr>
              <w:t>1502.90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9E" w:rsidRDefault="00976C0B">
            <w:pPr>
              <w:snapToGrid w:val="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500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9E" w:rsidRDefault="00976C0B">
            <w:pPr>
              <w:snapToGrid w:val="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未运营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9E" w:rsidRDefault="00976C0B">
            <w:pPr>
              <w:snapToGrid w:val="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2018</w:t>
            </w:r>
            <w:r>
              <w:rPr>
                <w:rFonts w:ascii="仿宋_GB2312" w:eastAsia="仿宋_GB2312" w:hAnsi="黑体" w:hint="eastAsia"/>
                <w:sz w:val="18"/>
                <w:szCs w:val="18"/>
              </w:rPr>
              <w:t>年至</w:t>
            </w:r>
            <w:r>
              <w:rPr>
                <w:rFonts w:ascii="仿宋_GB2312" w:eastAsia="仿宋_GB2312" w:hAnsi="黑体" w:hint="eastAsia"/>
                <w:sz w:val="18"/>
                <w:szCs w:val="18"/>
              </w:rPr>
              <w:t>2019</w:t>
            </w:r>
            <w:r>
              <w:rPr>
                <w:rFonts w:ascii="仿宋_GB2312" w:eastAsia="仿宋_GB2312" w:hAnsi="黑体" w:hint="eastAsia"/>
                <w:sz w:val="18"/>
                <w:szCs w:val="18"/>
              </w:rPr>
              <w:t>年</w:t>
            </w:r>
          </w:p>
        </w:tc>
      </w:tr>
    </w:tbl>
    <w:p w:rsidR="00EA739E" w:rsidRDefault="00976C0B">
      <w:pPr>
        <w:snapToGrid w:val="0"/>
        <w:ind w:left="840" w:hangingChars="300" w:hanging="84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</w:t>
      </w: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本表由使用一般债券资金的部门逐笔填列后于每年</w:t>
      </w: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月底前公开，反映截至上年年</w:t>
      </w:r>
      <w:proofErr w:type="gramStart"/>
      <w:r>
        <w:rPr>
          <w:rFonts w:ascii="仿宋_GB2312" w:eastAsia="仿宋_GB2312" w:hint="eastAsia"/>
          <w:sz w:val="28"/>
          <w:szCs w:val="28"/>
        </w:rPr>
        <w:t>末一般</w:t>
      </w:r>
      <w:proofErr w:type="gramEnd"/>
      <w:r>
        <w:rPr>
          <w:rFonts w:ascii="仿宋_GB2312" w:eastAsia="仿宋_GB2312" w:hint="eastAsia"/>
          <w:sz w:val="28"/>
          <w:szCs w:val="28"/>
        </w:rPr>
        <w:t>债券及对应项目情况。</w:t>
      </w:r>
    </w:p>
    <w:p w:rsidR="00EA739E" w:rsidRDefault="00976C0B">
      <w:pPr>
        <w:numPr>
          <w:ilvl w:val="0"/>
          <w:numId w:val="1"/>
        </w:numPr>
        <w:snapToGrid w:val="0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项目所在地区按照标准行政区划名称填写。</w:t>
      </w:r>
    </w:p>
    <w:p w:rsidR="00EA739E" w:rsidRDefault="00976C0B">
      <w:r>
        <w:rPr>
          <w:rFonts w:ascii="黑体" w:eastAsia="黑体" w:hAnsi="黑体" w:hint="eastAsia"/>
          <w:sz w:val="32"/>
        </w:rPr>
        <w:lastRenderedPageBreak/>
        <w:t>附件</w:t>
      </w:r>
      <w:r>
        <w:rPr>
          <w:rFonts w:ascii="黑体" w:eastAsia="黑体" w:hAnsi="黑体" w:hint="eastAsia"/>
          <w:sz w:val="32"/>
        </w:rPr>
        <w:t>5</w:t>
      </w:r>
    </w:p>
    <w:p w:rsidR="00EA739E" w:rsidRDefault="00976C0B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2018</w:t>
      </w:r>
      <w:r>
        <w:rPr>
          <w:rFonts w:ascii="方正小标宋简体" w:eastAsia="方正小标宋简体" w:hAnsi="黑体" w:hint="eastAsia"/>
          <w:sz w:val="44"/>
          <w:szCs w:val="44"/>
        </w:rPr>
        <w:t>—</w:t>
      </w:r>
      <w:r>
        <w:rPr>
          <w:rFonts w:ascii="方正小标宋简体" w:eastAsia="方正小标宋简体" w:hAnsi="黑体" w:hint="eastAsia"/>
          <w:sz w:val="44"/>
          <w:szCs w:val="44"/>
        </w:rPr>
        <w:t>2019</w:t>
      </w:r>
      <w:r>
        <w:rPr>
          <w:rFonts w:ascii="方正小标宋简体" w:eastAsia="方正小标宋简体" w:hAnsi="黑体" w:hint="eastAsia"/>
          <w:sz w:val="44"/>
          <w:szCs w:val="44"/>
        </w:rPr>
        <w:t>年发行的新增地方政府一般债券</w:t>
      </w:r>
    </w:p>
    <w:p w:rsidR="00EA739E" w:rsidRDefault="00976C0B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资金收支情况表</w:t>
      </w:r>
    </w:p>
    <w:p w:rsidR="00EA739E" w:rsidRDefault="00EA739E">
      <w:pPr>
        <w:widowControl/>
        <w:jc w:val="left"/>
        <w:rPr>
          <w:sz w:val="20"/>
          <w:szCs w:val="20"/>
        </w:rPr>
      </w:pPr>
    </w:p>
    <w:p w:rsidR="00EA739E" w:rsidRDefault="00976C0B">
      <w:pPr>
        <w:widowControl/>
        <w:jc w:val="center"/>
        <w:rPr>
          <w:rFonts w:ascii="仿宋_GB2312" w:eastAsia="仿宋_GB2312"/>
          <w:sz w:val="20"/>
          <w:szCs w:val="20"/>
        </w:rPr>
      </w:pPr>
      <w:r>
        <w:rPr>
          <w:rFonts w:ascii="仿宋_GB2312" w:eastAsia="仿宋_GB2312" w:hint="eastAsia"/>
        </w:rPr>
        <w:t xml:space="preserve">                                                                </w:t>
      </w:r>
      <w:r>
        <w:rPr>
          <w:rFonts w:ascii="仿宋_GB2312" w:eastAsia="仿宋_GB2312" w:hint="eastAsia"/>
        </w:rPr>
        <w:t>单位：亿元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2836"/>
        <w:gridCol w:w="1725"/>
        <w:gridCol w:w="2835"/>
        <w:gridCol w:w="3120"/>
      </w:tblGrid>
      <w:tr w:rsidR="00EA739E">
        <w:trPr>
          <w:trHeight w:val="691"/>
        </w:trPr>
        <w:tc>
          <w:tcPr>
            <w:tcW w:w="899" w:type="dxa"/>
            <w:vMerge w:val="restart"/>
          </w:tcPr>
          <w:p w:rsidR="00EA739E" w:rsidRDefault="00976C0B">
            <w:pPr>
              <w:rPr>
                <w:rFonts w:ascii="仿宋_GB2312" w:eastAsia="仿宋_GB2312" w:hAnsi="黑体"/>
                <w:sz w:val="22"/>
                <w:szCs w:val="44"/>
              </w:rPr>
            </w:pPr>
            <w:r>
              <w:rPr>
                <w:rFonts w:ascii="仿宋_GB2312" w:eastAsia="仿宋_GB2312" w:hAnsi="黑体" w:hint="eastAsia"/>
                <w:sz w:val="22"/>
                <w:szCs w:val="44"/>
              </w:rPr>
              <w:t>序号</w:t>
            </w:r>
          </w:p>
        </w:tc>
        <w:tc>
          <w:tcPr>
            <w:tcW w:w="4561" w:type="dxa"/>
            <w:gridSpan w:val="2"/>
          </w:tcPr>
          <w:p w:rsidR="00EA739E" w:rsidRDefault="00976C0B">
            <w:pPr>
              <w:rPr>
                <w:rFonts w:ascii="仿宋_GB2312" w:eastAsia="仿宋_GB2312" w:hAnsi="黑体"/>
                <w:sz w:val="22"/>
                <w:szCs w:val="44"/>
              </w:rPr>
            </w:pPr>
            <w:r>
              <w:rPr>
                <w:rFonts w:ascii="仿宋_GB2312" w:eastAsia="仿宋_GB2312" w:hAnsi="黑体" w:hint="eastAsia"/>
                <w:sz w:val="22"/>
                <w:szCs w:val="44"/>
              </w:rPr>
              <w:t>2018</w:t>
            </w:r>
            <w:r>
              <w:rPr>
                <w:rFonts w:ascii="仿宋_GB2312" w:eastAsia="仿宋_GB2312" w:hAnsi="黑体" w:hint="eastAsia"/>
                <w:sz w:val="22"/>
                <w:szCs w:val="44"/>
              </w:rPr>
              <w:t>年—</w:t>
            </w:r>
            <w:r>
              <w:rPr>
                <w:rFonts w:ascii="仿宋_GB2312" w:eastAsia="仿宋_GB2312" w:hAnsi="黑体" w:hint="eastAsia"/>
                <w:sz w:val="22"/>
                <w:szCs w:val="44"/>
              </w:rPr>
              <w:t>2019</w:t>
            </w:r>
            <w:r>
              <w:rPr>
                <w:rFonts w:ascii="仿宋_GB2312" w:eastAsia="仿宋_GB2312" w:hAnsi="黑体" w:hint="eastAsia"/>
                <w:sz w:val="22"/>
                <w:szCs w:val="44"/>
              </w:rPr>
              <w:t>年末新增一般债券资金收入</w:t>
            </w:r>
          </w:p>
        </w:tc>
        <w:tc>
          <w:tcPr>
            <w:tcW w:w="5955" w:type="dxa"/>
            <w:gridSpan w:val="2"/>
          </w:tcPr>
          <w:p w:rsidR="00EA739E" w:rsidRDefault="00976C0B">
            <w:pPr>
              <w:rPr>
                <w:rFonts w:ascii="仿宋_GB2312" w:eastAsia="仿宋_GB2312" w:hAnsi="黑体"/>
                <w:sz w:val="22"/>
                <w:szCs w:val="44"/>
              </w:rPr>
            </w:pPr>
            <w:r>
              <w:rPr>
                <w:rFonts w:ascii="仿宋_GB2312" w:eastAsia="仿宋_GB2312" w:hAnsi="黑体" w:hint="eastAsia"/>
                <w:sz w:val="22"/>
                <w:szCs w:val="44"/>
              </w:rPr>
              <w:t>2018</w:t>
            </w:r>
            <w:r>
              <w:rPr>
                <w:rFonts w:ascii="仿宋_GB2312" w:eastAsia="仿宋_GB2312" w:hAnsi="黑体" w:hint="eastAsia"/>
                <w:sz w:val="22"/>
                <w:szCs w:val="44"/>
              </w:rPr>
              <w:t>年—</w:t>
            </w:r>
            <w:r>
              <w:rPr>
                <w:rFonts w:ascii="仿宋_GB2312" w:eastAsia="仿宋_GB2312" w:hAnsi="黑体" w:hint="eastAsia"/>
                <w:sz w:val="22"/>
                <w:szCs w:val="44"/>
              </w:rPr>
              <w:t>2019</w:t>
            </w:r>
            <w:r>
              <w:rPr>
                <w:rFonts w:ascii="仿宋_GB2312" w:eastAsia="仿宋_GB2312" w:hAnsi="黑体" w:hint="eastAsia"/>
                <w:sz w:val="22"/>
                <w:szCs w:val="44"/>
              </w:rPr>
              <w:t>年末新增一般债券资金安排的支出</w:t>
            </w:r>
          </w:p>
        </w:tc>
      </w:tr>
      <w:tr w:rsidR="00EA739E">
        <w:trPr>
          <w:trHeight w:val="405"/>
        </w:trPr>
        <w:tc>
          <w:tcPr>
            <w:tcW w:w="899" w:type="dxa"/>
            <w:vMerge/>
          </w:tcPr>
          <w:p w:rsidR="00EA739E" w:rsidRDefault="00EA739E">
            <w:pPr>
              <w:rPr>
                <w:rFonts w:ascii="仿宋_GB2312" w:eastAsia="仿宋_GB2312" w:hAnsi="黑体"/>
                <w:sz w:val="22"/>
                <w:szCs w:val="44"/>
              </w:rPr>
            </w:pPr>
          </w:p>
        </w:tc>
        <w:tc>
          <w:tcPr>
            <w:tcW w:w="2836" w:type="dxa"/>
            <w:noWrap/>
          </w:tcPr>
          <w:p w:rsidR="00EA739E" w:rsidRDefault="00976C0B">
            <w:pPr>
              <w:rPr>
                <w:rFonts w:ascii="仿宋_GB2312" w:eastAsia="仿宋_GB2312" w:hAnsi="黑体"/>
                <w:sz w:val="22"/>
                <w:szCs w:val="44"/>
              </w:rPr>
            </w:pPr>
            <w:r>
              <w:rPr>
                <w:rFonts w:ascii="仿宋_GB2312" w:eastAsia="仿宋_GB2312" w:hAnsi="黑体" w:hint="eastAsia"/>
                <w:sz w:val="22"/>
                <w:szCs w:val="44"/>
              </w:rPr>
              <w:t>债券名称</w:t>
            </w:r>
          </w:p>
        </w:tc>
        <w:tc>
          <w:tcPr>
            <w:tcW w:w="1725" w:type="dxa"/>
            <w:noWrap/>
          </w:tcPr>
          <w:p w:rsidR="00EA739E" w:rsidRDefault="00976C0B">
            <w:pPr>
              <w:rPr>
                <w:rFonts w:ascii="仿宋_GB2312" w:eastAsia="仿宋_GB2312" w:hAnsi="黑体"/>
                <w:sz w:val="22"/>
                <w:szCs w:val="44"/>
              </w:rPr>
            </w:pPr>
            <w:r>
              <w:rPr>
                <w:rFonts w:ascii="仿宋_GB2312" w:eastAsia="仿宋_GB2312" w:hAnsi="黑体" w:hint="eastAsia"/>
                <w:sz w:val="22"/>
                <w:szCs w:val="44"/>
              </w:rPr>
              <w:t>金额</w:t>
            </w:r>
          </w:p>
        </w:tc>
        <w:tc>
          <w:tcPr>
            <w:tcW w:w="2835" w:type="dxa"/>
            <w:noWrap/>
          </w:tcPr>
          <w:p w:rsidR="00EA739E" w:rsidRDefault="00976C0B">
            <w:pPr>
              <w:rPr>
                <w:rFonts w:ascii="仿宋_GB2312" w:eastAsia="仿宋_GB2312" w:hAnsi="黑体"/>
                <w:sz w:val="22"/>
                <w:szCs w:val="44"/>
              </w:rPr>
            </w:pPr>
            <w:r>
              <w:rPr>
                <w:rFonts w:ascii="仿宋_GB2312" w:eastAsia="仿宋_GB2312" w:hAnsi="黑体" w:hint="eastAsia"/>
                <w:sz w:val="22"/>
                <w:szCs w:val="44"/>
              </w:rPr>
              <w:t>支出功能分类</w:t>
            </w:r>
          </w:p>
        </w:tc>
        <w:tc>
          <w:tcPr>
            <w:tcW w:w="3120" w:type="dxa"/>
            <w:noWrap/>
          </w:tcPr>
          <w:p w:rsidR="00EA739E" w:rsidRDefault="00976C0B">
            <w:pPr>
              <w:rPr>
                <w:rFonts w:ascii="仿宋_GB2312" w:eastAsia="仿宋_GB2312" w:hAnsi="黑体"/>
                <w:sz w:val="22"/>
                <w:szCs w:val="44"/>
              </w:rPr>
            </w:pPr>
            <w:r>
              <w:rPr>
                <w:rFonts w:ascii="仿宋_GB2312" w:eastAsia="仿宋_GB2312" w:hAnsi="黑体" w:hint="eastAsia"/>
                <w:sz w:val="22"/>
                <w:szCs w:val="44"/>
              </w:rPr>
              <w:t>金额</w:t>
            </w:r>
          </w:p>
        </w:tc>
      </w:tr>
      <w:tr w:rsidR="00EA739E">
        <w:trPr>
          <w:trHeight w:val="405"/>
        </w:trPr>
        <w:tc>
          <w:tcPr>
            <w:tcW w:w="899" w:type="dxa"/>
            <w:noWrap/>
          </w:tcPr>
          <w:p w:rsidR="00EA739E" w:rsidRDefault="00976C0B">
            <w:pPr>
              <w:rPr>
                <w:rFonts w:ascii="仿宋_GB2312" w:eastAsia="仿宋_GB2312" w:hAnsi="黑体"/>
                <w:sz w:val="22"/>
                <w:szCs w:val="44"/>
              </w:rPr>
            </w:pPr>
            <w:r>
              <w:rPr>
                <w:rFonts w:ascii="仿宋_GB2312" w:eastAsia="仿宋_GB2312" w:hAnsi="黑体" w:hint="eastAsia"/>
                <w:sz w:val="22"/>
                <w:szCs w:val="44"/>
              </w:rPr>
              <w:t>合计</w:t>
            </w:r>
          </w:p>
        </w:tc>
        <w:tc>
          <w:tcPr>
            <w:tcW w:w="2836" w:type="dxa"/>
            <w:noWrap/>
          </w:tcPr>
          <w:p w:rsidR="00EA739E" w:rsidRDefault="00EA739E">
            <w:pPr>
              <w:rPr>
                <w:rFonts w:ascii="仿宋_GB2312" w:eastAsia="仿宋_GB2312" w:hAnsi="黑体"/>
                <w:sz w:val="22"/>
                <w:szCs w:val="44"/>
              </w:rPr>
            </w:pPr>
          </w:p>
        </w:tc>
        <w:tc>
          <w:tcPr>
            <w:tcW w:w="1725" w:type="dxa"/>
            <w:noWrap/>
          </w:tcPr>
          <w:p w:rsidR="00EA739E" w:rsidRDefault="00976C0B">
            <w:pPr>
              <w:rPr>
                <w:rFonts w:ascii="仿宋_GB2312" w:eastAsia="仿宋_GB2312" w:hAnsi="黑体"/>
                <w:sz w:val="22"/>
                <w:szCs w:val="44"/>
              </w:rPr>
            </w:pPr>
            <w:r>
              <w:rPr>
                <w:rFonts w:ascii="仿宋_GB2312" w:eastAsia="仿宋_GB2312" w:hAnsi="黑体" w:hint="eastAsia"/>
                <w:sz w:val="22"/>
                <w:szCs w:val="44"/>
              </w:rPr>
              <w:t xml:space="preserve">　</w:t>
            </w:r>
            <w:r>
              <w:rPr>
                <w:rFonts w:ascii="仿宋_GB2312" w:eastAsia="仿宋_GB2312" w:hAnsi="黑体" w:hint="eastAsia"/>
                <w:sz w:val="22"/>
                <w:szCs w:val="44"/>
              </w:rPr>
              <w:t>0.31</w:t>
            </w:r>
          </w:p>
        </w:tc>
        <w:tc>
          <w:tcPr>
            <w:tcW w:w="2835" w:type="dxa"/>
            <w:noWrap/>
          </w:tcPr>
          <w:p w:rsidR="00EA739E" w:rsidRDefault="00EA739E">
            <w:pPr>
              <w:rPr>
                <w:rFonts w:ascii="仿宋_GB2312" w:eastAsia="仿宋_GB2312" w:hAnsi="黑体"/>
                <w:sz w:val="22"/>
                <w:szCs w:val="44"/>
              </w:rPr>
            </w:pPr>
          </w:p>
        </w:tc>
        <w:tc>
          <w:tcPr>
            <w:tcW w:w="3120" w:type="dxa"/>
            <w:noWrap/>
          </w:tcPr>
          <w:p w:rsidR="00EA739E" w:rsidRDefault="00976C0B">
            <w:pPr>
              <w:rPr>
                <w:rFonts w:ascii="仿宋_GB2312" w:eastAsia="仿宋_GB2312" w:hAnsi="黑体"/>
                <w:sz w:val="22"/>
                <w:szCs w:val="44"/>
              </w:rPr>
            </w:pPr>
            <w:r>
              <w:rPr>
                <w:rFonts w:ascii="仿宋_GB2312" w:eastAsia="仿宋_GB2312" w:hAnsi="黑体" w:hint="eastAsia"/>
                <w:sz w:val="22"/>
                <w:szCs w:val="44"/>
              </w:rPr>
              <w:t xml:space="preserve">　</w:t>
            </w:r>
            <w:r>
              <w:rPr>
                <w:rFonts w:ascii="仿宋_GB2312" w:eastAsia="仿宋_GB2312" w:hAnsi="黑体" w:hint="eastAsia"/>
                <w:sz w:val="22"/>
                <w:szCs w:val="44"/>
              </w:rPr>
              <w:t>0.31</w:t>
            </w:r>
          </w:p>
        </w:tc>
      </w:tr>
      <w:tr w:rsidR="00EA739E">
        <w:trPr>
          <w:trHeight w:val="405"/>
        </w:trPr>
        <w:tc>
          <w:tcPr>
            <w:tcW w:w="899" w:type="dxa"/>
            <w:noWrap/>
          </w:tcPr>
          <w:p w:rsidR="00EA739E" w:rsidRDefault="00976C0B">
            <w:pPr>
              <w:rPr>
                <w:rFonts w:ascii="仿宋_GB2312" w:eastAsia="仿宋_GB2312" w:hAnsi="黑体"/>
                <w:sz w:val="22"/>
                <w:szCs w:val="44"/>
              </w:rPr>
            </w:pPr>
            <w:r>
              <w:rPr>
                <w:rFonts w:ascii="仿宋_GB2312" w:eastAsia="仿宋_GB2312" w:hAnsi="黑体" w:hint="eastAsia"/>
                <w:sz w:val="22"/>
                <w:szCs w:val="44"/>
              </w:rPr>
              <w:t>1</w:t>
            </w:r>
          </w:p>
        </w:tc>
        <w:tc>
          <w:tcPr>
            <w:tcW w:w="2836" w:type="dxa"/>
          </w:tcPr>
          <w:p w:rsidR="00EA739E" w:rsidRDefault="00976C0B">
            <w:pPr>
              <w:rPr>
                <w:rFonts w:ascii="仿宋_GB2312" w:eastAsia="仿宋_GB2312" w:hAnsi="黑体"/>
                <w:sz w:val="22"/>
                <w:szCs w:val="44"/>
              </w:rPr>
            </w:pPr>
            <w:r>
              <w:rPr>
                <w:rFonts w:ascii="仿宋_GB2312" w:eastAsia="仿宋_GB2312" w:hAnsi="黑体" w:hint="eastAsia"/>
                <w:sz w:val="22"/>
                <w:szCs w:val="44"/>
              </w:rPr>
              <w:t xml:space="preserve">　</w:t>
            </w:r>
            <w:r>
              <w:rPr>
                <w:rFonts w:ascii="仿宋_GB2312" w:eastAsia="仿宋_GB2312" w:hAnsi="黑体" w:hint="eastAsia"/>
                <w:sz w:val="22"/>
                <w:szCs w:val="44"/>
              </w:rPr>
              <w:t>2</w:t>
            </w:r>
            <w:r>
              <w:rPr>
                <w:rFonts w:ascii="仿宋_GB2312" w:eastAsia="仿宋_GB2312" w:hAnsi="黑体" w:hint="eastAsia"/>
                <w:sz w:val="22"/>
                <w:szCs w:val="44"/>
              </w:rPr>
              <w:t>019</w:t>
            </w:r>
            <w:r>
              <w:rPr>
                <w:rFonts w:ascii="仿宋_GB2312" w:eastAsia="仿宋_GB2312" w:hAnsi="黑体" w:hint="eastAsia"/>
                <w:sz w:val="22"/>
                <w:szCs w:val="44"/>
              </w:rPr>
              <w:t>年广西壮族自治区政府一般债券（三期）</w:t>
            </w:r>
          </w:p>
        </w:tc>
        <w:tc>
          <w:tcPr>
            <w:tcW w:w="1725" w:type="dxa"/>
          </w:tcPr>
          <w:p w:rsidR="00EA739E" w:rsidRDefault="00976C0B">
            <w:pPr>
              <w:rPr>
                <w:rFonts w:ascii="仿宋_GB2312" w:eastAsia="仿宋_GB2312" w:hAnsi="黑体"/>
                <w:sz w:val="22"/>
                <w:szCs w:val="44"/>
              </w:rPr>
            </w:pPr>
            <w:r>
              <w:rPr>
                <w:rFonts w:ascii="仿宋_GB2312" w:eastAsia="仿宋_GB2312" w:hAnsi="黑体" w:hint="eastAsia"/>
                <w:sz w:val="22"/>
                <w:szCs w:val="44"/>
              </w:rPr>
              <w:t xml:space="preserve">　</w:t>
            </w:r>
            <w:r>
              <w:rPr>
                <w:rFonts w:ascii="仿宋_GB2312" w:eastAsia="仿宋_GB2312" w:hAnsi="黑体" w:hint="eastAsia"/>
                <w:sz w:val="22"/>
                <w:szCs w:val="44"/>
              </w:rPr>
              <w:t>0.05</w:t>
            </w:r>
          </w:p>
        </w:tc>
        <w:tc>
          <w:tcPr>
            <w:tcW w:w="2835" w:type="dxa"/>
            <w:noWrap/>
          </w:tcPr>
          <w:p w:rsidR="00EA739E" w:rsidRDefault="00976C0B">
            <w:pPr>
              <w:rPr>
                <w:rFonts w:ascii="仿宋_GB2312" w:eastAsia="仿宋_GB2312" w:hAnsi="黑体"/>
                <w:sz w:val="22"/>
                <w:szCs w:val="44"/>
              </w:rPr>
            </w:pPr>
            <w:r>
              <w:rPr>
                <w:rFonts w:ascii="仿宋_GB2312" w:eastAsia="仿宋_GB2312" w:hAnsi="黑体" w:hint="eastAsia"/>
                <w:sz w:val="22"/>
                <w:szCs w:val="44"/>
              </w:rPr>
              <w:t>208</w:t>
            </w:r>
            <w:r>
              <w:rPr>
                <w:rFonts w:ascii="仿宋_GB2312" w:eastAsia="仿宋_GB2312" w:hAnsi="黑体" w:hint="eastAsia"/>
                <w:sz w:val="22"/>
                <w:szCs w:val="44"/>
              </w:rPr>
              <w:t>社会保障和就业支出</w:t>
            </w:r>
          </w:p>
        </w:tc>
        <w:tc>
          <w:tcPr>
            <w:tcW w:w="3120" w:type="dxa"/>
          </w:tcPr>
          <w:p w:rsidR="00EA739E" w:rsidRDefault="00976C0B">
            <w:pPr>
              <w:rPr>
                <w:rFonts w:ascii="仿宋_GB2312" w:eastAsia="仿宋_GB2312" w:hAnsi="黑体"/>
                <w:sz w:val="22"/>
                <w:szCs w:val="44"/>
              </w:rPr>
            </w:pPr>
            <w:r>
              <w:rPr>
                <w:rFonts w:ascii="仿宋_GB2312" w:eastAsia="仿宋_GB2312" w:hAnsi="黑体" w:hint="eastAsia"/>
                <w:sz w:val="22"/>
                <w:szCs w:val="44"/>
              </w:rPr>
              <w:t xml:space="preserve">　</w:t>
            </w:r>
            <w:r>
              <w:rPr>
                <w:rFonts w:ascii="仿宋_GB2312" w:eastAsia="仿宋_GB2312" w:hAnsi="黑体" w:hint="eastAsia"/>
                <w:sz w:val="22"/>
                <w:szCs w:val="44"/>
              </w:rPr>
              <w:t>0.05</w:t>
            </w:r>
          </w:p>
        </w:tc>
      </w:tr>
      <w:tr w:rsidR="00EA739E">
        <w:trPr>
          <w:trHeight w:val="405"/>
        </w:trPr>
        <w:tc>
          <w:tcPr>
            <w:tcW w:w="899" w:type="dxa"/>
            <w:noWrap/>
          </w:tcPr>
          <w:p w:rsidR="00EA739E" w:rsidRDefault="00976C0B">
            <w:pPr>
              <w:rPr>
                <w:rFonts w:ascii="仿宋_GB2312" w:eastAsia="仿宋_GB2312" w:hAnsi="黑体"/>
                <w:sz w:val="22"/>
                <w:szCs w:val="44"/>
              </w:rPr>
            </w:pPr>
            <w:r>
              <w:rPr>
                <w:rFonts w:ascii="仿宋_GB2312" w:eastAsia="仿宋_GB2312" w:hAnsi="黑体" w:hint="eastAsia"/>
                <w:sz w:val="22"/>
                <w:szCs w:val="44"/>
              </w:rPr>
              <w:t>2</w:t>
            </w:r>
          </w:p>
        </w:tc>
        <w:tc>
          <w:tcPr>
            <w:tcW w:w="2836" w:type="dxa"/>
          </w:tcPr>
          <w:p w:rsidR="00EA739E" w:rsidRDefault="00976C0B">
            <w:pPr>
              <w:rPr>
                <w:rFonts w:ascii="仿宋_GB2312" w:eastAsia="仿宋_GB2312" w:hAnsi="黑体"/>
                <w:sz w:val="22"/>
                <w:szCs w:val="44"/>
              </w:rPr>
            </w:pPr>
            <w:r>
              <w:rPr>
                <w:rFonts w:ascii="仿宋_GB2312" w:eastAsia="仿宋_GB2312" w:hAnsi="黑体" w:hint="eastAsia"/>
                <w:sz w:val="22"/>
                <w:szCs w:val="44"/>
              </w:rPr>
              <w:t xml:space="preserve">　　</w:t>
            </w:r>
            <w:r>
              <w:rPr>
                <w:rFonts w:ascii="仿宋_GB2312" w:eastAsia="仿宋_GB2312" w:hAnsi="黑体" w:hint="eastAsia"/>
                <w:sz w:val="22"/>
                <w:szCs w:val="44"/>
              </w:rPr>
              <w:t>2</w:t>
            </w:r>
            <w:r>
              <w:rPr>
                <w:rFonts w:ascii="仿宋_GB2312" w:eastAsia="仿宋_GB2312" w:hAnsi="黑体" w:hint="eastAsia"/>
                <w:sz w:val="22"/>
                <w:szCs w:val="44"/>
              </w:rPr>
              <w:t>019</w:t>
            </w:r>
            <w:r>
              <w:rPr>
                <w:rFonts w:ascii="仿宋_GB2312" w:eastAsia="仿宋_GB2312" w:hAnsi="黑体" w:hint="eastAsia"/>
                <w:sz w:val="22"/>
                <w:szCs w:val="44"/>
              </w:rPr>
              <w:t>年广西壮族自治区政府一般债券（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四期</w:t>
            </w:r>
            <w:r>
              <w:rPr>
                <w:rFonts w:ascii="仿宋_GB2312" w:eastAsia="仿宋_GB2312" w:hAnsi="黑体" w:hint="eastAsia"/>
                <w:sz w:val="22"/>
                <w:szCs w:val="44"/>
              </w:rPr>
              <w:t>）</w:t>
            </w:r>
          </w:p>
        </w:tc>
        <w:tc>
          <w:tcPr>
            <w:tcW w:w="1725" w:type="dxa"/>
          </w:tcPr>
          <w:p w:rsidR="00EA739E" w:rsidRDefault="00976C0B">
            <w:pPr>
              <w:rPr>
                <w:rFonts w:ascii="仿宋_GB2312" w:eastAsia="仿宋_GB2312" w:hAnsi="黑体"/>
                <w:sz w:val="22"/>
                <w:szCs w:val="44"/>
              </w:rPr>
            </w:pPr>
            <w:r>
              <w:rPr>
                <w:rFonts w:ascii="仿宋_GB2312" w:eastAsia="仿宋_GB2312" w:hAnsi="黑体" w:hint="eastAsia"/>
                <w:sz w:val="22"/>
                <w:szCs w:val="44"/>
              </w:rPr>
              <w:t xml:space="preserve">　</w:t>
            </w:r>
            <w:r>
              <w:rPr>
                <w:rFonts w:ascii="仿宋_GB2312" w:eastAsia="仿宋_GB2312" w:hAnsi="黑体" w:hint="eastAsia"/>
                <w:sz w:val="22"/>
                <w:szCs w:val="44"/>
              </w:rPr>
              <w:t>0.26</w:t>
            </w:r>
          </w:p>
        </w:tc>
        <w:tc>
          <w:tcPr>
            <w:tcW w:w="2835" w:type="dxa"/>
            <w:noWrap/>
          </w:tcPr>
          <w:p w:rsidR="00EA739E" w:rsidRDefault="00976C0B">
            <w:pPr>
              <w:rPr>
                <w:rFonts w:ascii="仿宋_GB2312" w:eastAsia="仿宋_GB2312" w:hAnsi="黑体"/>
                <w:sz w:val="22"/>
                <w:szCs w:val="44"/>
              </w:rPr>
            </w:pPr>
            <w:r>
              <w:rPr>
                <w:rFonts w:ascii="仿宋_GB2312" w:eastAsia="仿宋_GB2312" w:hAnsi="黑体" w:hint="eastAsia"/>
                <w:sz w:val="22"/>
                <w:szCs w:val="44"/>
              </w:rPr>
              <w:t>208</w:t>
            </w:r>
            <w:r>
              <w:rPr>
                <w:rFonts w:ascii="仿宋_GB2312" w:eastAsia="仿宋_GB2312" w:hAnsi="黑体" w:hint="eastAsia"/>
                <w:sz w:val="22"/>
                <w:szCs w:val="44"/>
              </w:rPr>
              <w:t>社会保障和就业支出</w:t>
            </w:r>
          </w:p>
        </w:tc>
        <w:tc>
          <w:tcPr>
            <w:tcW w:w="3120" w:type="dxa"/>
            <w:noWrap/>
          </w:tcPr>
          <w:p w:rsidR="00EA739E" w:rsidRDefault="00976C0B">
            <w:pPr>
              <w:rPr>
                <w:rFonts w:ascii="仿宋_GB2312" w:eastAsia="仿宋_GB2312" w:hAnsi="黑体"/>
                <w:sz w:val="22"/>
                <w:szCs w:val="44"/>
              </w:rPr>
            </w:pPr>
            <w:r>
              <w:rPr>
                <w:rFonts w:ascii="仿宋_GB2312" w:eastAsia="仿宋_GB2312" w:hAnsi="黑体" w:hint="eastAsia"/>
                <w:sz w:val="22"/>
                <w:szCs w:val="44"/>
              </w:rPr>
              <w:t xml:space="preserve">　</w:t>
            </w:r>
            <w:r>
              <w:rPr>
                <w:rFonts w:ascii="仿宋_GB2312" w:eastAsia="仿宋_GB2312" w:hAnsi="黑体" w:hint="eastAsia"/>
                <w:sz w:val="22"/>
                <w:szCs w:val="44"/>
              </w:rPr>
              <w:t>0.26</w:t>
            </w:r>
          </w:p>
          <w:p w:rsidR="00EA739E" w:rsidRDefault="00EA739E">
            <w:pPr>
              <w:rPr>
                <w:rFonts w:ascii="仿宋_GB2312" w:eastAsia="仿宋_GB2312" w:hAnsi="黑体"/>
                <w:sz w:val="22"/>
                <w:szCs w:val="44"/>
              </w:rPr>
            </w:pPr>
          </w:p>
        </w:tc>
      </w:tr>
    </w:tbl>
    <w:p w:rsidR="00EA739E" w:rsidRDefault="00EA739E">
      <w:pPr>
        <w:snapToGrid w:val="0"/>
        <w:jc w:val="left"/>
        <w:rPr>
          <w:rFonts w:ascii="仿宋_GB2312" w:eastAsia="仿宋_GB2312"/>
          <w:sz w:val="28"/>
          <w:szCs w:val="28"/>
        </w:rPr>
      </w:pPr>
    </w:p>
    <w:p w:rsidR="00EA739E" w:rsidRDefault="00976C0B">
      <w:pPr>
        <w:snapToGrid w:val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</w:t>
      </w:r>
    </w:p>
    <w:sectPr w:rsidR="00EA73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48D" w:rsidRDefault="0026248D" w:rsidP="0026248D">
      <w:r>
        <w:separator/>
      </w:r>
    </w:p>
  </w:endnote>
  <w:endnote w:type="continuationSeparator" w:id="0">
    <w:p w:rsidR="0026248D" w:rsidRDefault="0026248D" w:rsidP="0026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48D" w:rsidRDefault="0026248D" w:rsidP="0026248D">
      <w:r>
        <w:separator/>
      </w:r>
    </w:p>
  </w:footnote>
  <w:footnote w:type="continuationSeparator" w:id="0">
    <w:p w:rsidR="0026248D" w:rsidRDefault="0026248D" w:rsidP="00262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0D5B3"/>
    <w:multiLevelType w:val="singleLevel"/>
    <w:tmpl w:val="4130D5B3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9FA2517"/>
    <w:rsid w:val="0026248D"/>
    <w:rsid w:val="00976C0B"/>
    <w:rsid w:val="00EA739E"/>
    <w:rsid w:val="09594CF2"/>
    <w:rsid w:val="0F01701D"/>
    <w:rsid w:val="19FA2517"/>
    <w:rsid w:val="25867C3E"/>
    <w:rsid w:val="5CA0102C"/>
    <w:rsid w:val="6E5C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1C6CE0"/>
  <w15:docId w15:val="{3E10F4B4-F532-416E-A566-2BDD7800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a6"/>
    <w:rsid w:val="0026248D"/>
    <w:rPr>
      <w:sz w:val="18"/>
      <w:szCs w:val="18"/>
    </w:rPr>
  </w:style>
  <w:style w:type="character" w:customStyle="1" w:styleId="a6">
    <w:name w:val="批注框文本 字符"/>
    <w:basedOn w:val="a0"/>
    <w:link w:val="a5"/>
    <w:rsid w:val="0026248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loading... </dc:creator>
  <cp:lastModifiedBy>Administrator</cp:lastModifiedBy>
  <cp:revision>3</cp:revision>
  <cp:lastPrinted>2020-07-14T09:29:00Z</cp:lastPrinted>
  <dcterms:created xsi:type="dcterms:W3CDTF">2020-07-14T01:22:00Z</dcterms:created>
  <dcterms:modified xsi:type="dcterms:W3CDTF">2020-07-15T07:44:00Z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