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72" w:rsidRDefault="00360172" w:rsidP="0073554A">
      <w:pPr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四、执法程序</w:t>
      </w:r>
      <w:r>
        <w:rPr>
          <w:rFonts w:ascii="宋体" w:hAnsi="宋体"/>
          <w:b/>
          <w:sz w:val="36"/>
          <w:szCs w:val="36"/>
        </w:rPr>
        <w:t>6-4</w:t>
      </w:r>
    </w:p>
    <w:p w:rsidR="00360172" w:rsidRDefault="00360172" w:rsidP="0073554A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【其他权力】类：</w:t>
      </w:r>
    </w:p>
    <w:p w:rsidR="00360172" w:rsidRDefault="00360172" w:rsidP="0073554A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社会团体开展重大活动报备</w:t>
      </w:r>
    </w:p>
    <w:p w:rsidR="00360172" w:rsidRDefault="00360172" w:rsidP="0073554A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【自治区人民政府规章】《广西壮族自治区行业协会商会管理办法》（自治区人民政府令第</w:t>
      </w:r>
      <w:r>
        <w:rPr>
          <w:rFonts w:ascii="仿宋_GB2312" w:eastAsia="仿宋_GB2312" w:hAnsi="Calibri" w:cs="仿宋_GB2312"/>
          <w:sz w:val="32"/>
          <w:szCs w:val="32"/>
        </w:rPr>
        <w:t>79</w:t>
      </w:r>
      <w:r>
        <w:rPr>
          <w:rFonts w:ascii="仿宋_GB2312" w:eastAsia="仿宋_GB2312" w:hAnsi="Calibri" w:cs="仿宋_GB2312" w:hint="eastAsia"/>
          <w:sz w:val="32"/>
          <w:szCs w:val="32"/>
        </w:rPr>
        <w:t>号）第二十二条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行业协会召开成立大会、会员</w:t>
      </w:r>
      <w:r>
        <w:rPr>
          <w:rFonts w:ascii="仿宋_GB2312" w:eastAsia="仿宋_GB2312" w:hAnsi="Calibri" w:cs="仿宋_GB2312"/>
          <w:sz w:val="32"/>
          <w:szCs w:val="32"/>
        </w:rPr>
        <w:t>(</w:t>
      </w:r>
      <w:r>
        <w:rPr>
          <w:rFonts w:ascii="仿宋_GB2312" w:eastAsia="仿宋_GB2312" w:hAnsi="Calibri" w:cs="仿宋_GB2312" w:hint="eastAsia"/>
          <w:sz w:val="32"/>
          <w:szCs w:val="32"/>
        </w:rPr>
        <w:t>会员代表</w:t>
      </w:r>
      <w:r>
        <w:rPr>
          <w:rFonts w:ascii="仿宋_GB2312" w:eastAsia="仿宋_GB2312" w:hAnsi="Calibri" w:cs="仿宋_GB2312"/>
          <w:sz w:val="32"/>
          <w:szCs w:val="32"/>
        </w:rPr>
        <w:t>)</w:t>
      </w:r>
      <w:r>
        <w:rPr>
          <w:rFonts w:ascii="仿宋_GB2312" w:eastAsia="仿宋_GB2312" w:hAnsi="Calibri" w:cs="仿宋_GB2312" w:hint="eastAsia"/>
          <w:sz w:val="32"/>
          <w:szCs w:val="32"/>
        </w:rPr>
        <w:t>大会、年会、换届选举会或者跨登记的活动地域开展活动的</w:t>
      </w:r>
      <w:r>
        <w:rPr>
          <w:rFonts w:ascii="仿宋_GB2312" w:eastAsia="仿宋_GB2312" w:hAnsi="Calibri" w:cs="仿宋_GB2312"/>
          <w:sz w:val="32"/>
          <w:szCs w:val="32"/>
        </w:rPr>
        <w:t>,</w:t>
      </w:r>
      <w:r>
        <w:rPr>
          <w:rFonts w:ascii="仿宋_GB2312" w:eastAsia="仿宋_GB2312" w:hAnsi="Calibri" w:cs="仿宋_GB2312" w:hint="eastAsia"/>
          <w:sz w:val="32"/>
          <w:szCs w:val="32"/>
        </w:rPr>
        <w:t>应当经业务主管单位审查同意</w:t>
      </w:r>
      <w:r>
        <w:rPr>
          <w:rFonts w:ascii="仿宋_GB2312" w:eastAsia="仿宋_GB2312" w:hAnsi="Calibri" w:cs="仿宋_GB2312"/>
          <w:sz w:val="32"/>
          <w:szCs w:val="32"/>
        </w:rPr>
        <w:t>,</w:t>
      </w:r>
      <w:r>
        <w:rPr>
          <w:rFonts w:ascii="仿宋_GB2312" w:eastAsia="仿宋_GB2312" w:hAnsi="Calibri" w:cs="仿宋_GB2312" w:hint="eastAsia"/>
          <w:sz w:val="32"/>
          <w:szCs w:val="32"/>
        </w:rPr>
        <w:t>并书面报登记管理机关备案。开展涉外活动的</w:t>
      </w:r>
      <w:r>
        <w:rPr>
          <w:rFonts w:ascii="仿宋_GB2312" w:eastAsia="仿宋_GB2312" w:hAnsi="Calibri" w:cs="仿宋_GB2312"/>
          <w:sz w:val="32"/>
          <w:szCs w:val="32"/>
        </w:rPr>
        <w:t>,</w:t>
      </w:r>
      <w:r>
        <w:rPr>
          <w:rFonts w:ascii="仿宋_GB2312" w:eastAsia="仿宋_GB2312" w:hAnsi="Calibri" w:cs="仿宋_GB2312" w:hint="eastAsia"/>
          <w:sz w:val="32"/>
          <w:szCs w:val="32"/>
        </w:rPr>
        <w:t>应当按照有关规定审批。</w:t>
      </w:r>
    </w:p>
    <w:p w:rsidR="00360172" w:rsidRDefault="00360172" w:rsidP="0073554A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承办机构：柳州市民政局民间组织管理科</w:t>
      </w:r>
    </w:p>
    <w:p w:rsidR="00360172" w:rsidRDefault="00360172" w:rsidP="0073554A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实施对象：在柳州市登记管理机关登记的社会组织</w:t>
      </w:r>
    </w:p>
    <w:p w:rsidR="00360172" w:rsidRDefault="00360172" w:rsidP="0073554A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办结时限：法定办结时限：</w:t>
      </w:r>
      <w:r>
        <w:rPr>
          <w:rFonts w:ascii="仿宋_GB2312" w:eastAsia="仿宋_GB2312" w:hAnsi="Calibri" w:cs="仿宋_GB2312"/>
          <w:sz w:val="3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>个工作日。承诺办结时限：</w:t>
      </w:r>
      <w:r>
        <w:rPr>
          <w:rFonts w:ascii="仿宋_GB2312" w:eastAsia="仿宋_GB2312" w:hAnsi="Calibri" w:cs="仿宋_GB2312"/>
          <w:sz w:val="3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>个工作日。</w:t>
      </w:r>
    </w:p>
    <w:p w:rsidR="00360172" w:rsidRDefault="00360172" w:rsidP="0073554A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咨询电话：（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2821164</w:t>
      </w:r>
      <w:r>
        <w:rPr>
          <w:rFonts w:ascii="仿宋_GB2312" w:eastAsia="仿宋_GB2312" w:hAnsi="Calibri" w:cs="仿宋_GB2312" w:hint="eastAsia"/>
          <w:sz w:val="32"/>
          <w:szCs w:val="32"/>
        </w:rPr>
        <w:t>；投诉电话：（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2830944</w:t>
      </w:r>
    </w:p>
    <w:p w:rsidR="00360172" w:rsidRDefault="00360172" w:rsidP="0073554A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</w:p>
    <w:p w:rsidR="00360172" w:rsidRDefault="00360172">
      <w:pPr>
        <w:rPr>
          <w:rFonts w:ascii="仿宋_GB2312" w:eastAsia="仿宋_GB2312" w:hAnsi="Calibri" w:cs="仿宋_GB2312"/>
          <w:sz w:val="32"/>
          <w:szCs w:val="32"/>
        </w:rPr>
        <w:sectPr w:rsidR="003601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Calibri" w:cs="仿宋_GB2312" w:hint="eastAsia"/>
          <w:sz w:val="32"/>
          <w:szCs w:val="32"/>
        </w:rPr>
        <w:t>附件：社会团体开展重大活动报备流程图</w:t>
      </w:r>
    </w:p>
    <w:p w:rsidR="00360172" w:rsidRDefault="00360172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406" w:lineRule="exact"/>
        <w:jc w:val="left"/>
        <w:rPr>
          <w:rFonts w:ascii="方正书宋_GBK" w:eastAsia="方正书宋_GBK" w:hAnsi="宋体" w:cs="宋体"/>
          <w:color w:val="auto"/>
          <w:sz w:val="24"/>
          <w:szCs w:val="24"/>
        </w:rPr>
      </w:pPr>
      <w:r>
        <w:rPr>
          <w:rFonts w:ascii="方正书宋_GBK" w:eastAsia="方正书宋_GBK" w:hAnsi="宋体" w:cs="宋体" w:hint="eastAsia"/>
          <w:color w:val="auto"/>
          <w:sz w:val="24"/>
          <w:szCs w:val="24"/>
        </w:rPr>
        <w:t>附件</w:t>
      </w:r>
    </w:p>
    <w:p w:rsidR="00360172" w:rsidRDefault="00360172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napToGrid w:val="0"/>
        <w:spacing w:line="406" w:lineRule="exact"/>
        <w:jc w:val="center"/>
        <w:rPr>
          <w:rFonts w:ascii="方正书宋_GBK" w:eastAsia="方正书宋_GBK" w:hAnsi="宋体" w:cs="宋体"/>
          <w:color w:val="auto"/>
          <w:sz w:val="28"/>
          <w:szCs w:val="28"/>
          <w:lang w:val="zh-TW" w:eastAsia="zh-TW"/>
        </w:rPr>
      </w:pPr>
    </w:p>
    <w:p w:rsidR="00360172" w:rsidRDefault="00360172">
      <w:pPr>
        <w:adjustRightInd w:val="0"/>
        <w:snapToGrid w:val="0"/>
        <w:spacing w:line="406" w:lineRule="exact"/>
        <w:jc w:val="center"/>
        <w:rPr>
          <w:rFonts w:ascii="方正小标宋_GBK" w:eastAsia="方正小标宋_GBK" w:cs="Calibri"/>
          <w:sz w:val="32"/>
          <w:szCs w:val="32"/>
          <w:lang w:val="zh-TW" w:eastAsia="zh-TW"/>
        </w:rPr>
      </w:pPr>
      <w:r>
        <w:rPr>
          <w:rFonts w:ascii="方正小标宋_GBK" w:eastAsia="方正小标宋_GBK" w:cs="Calibri" w:hint="eastAsia"/>
          <w:sz w:val="32"/>
          <w:szCs w:val="32"/>
          <w:lang w:val="zh-TW" w:eastAsia="zh-TW"/>
        </w:rPr>
        <w:t>社会</w:t>
      </w:r>
      <w:r>
        <w:rPr>
          <w:rFonts w:ascii="方正小标宋_GBK" w:eastAsia="方正小标宋_GBK" w:cs="Calibri" w:hint="eastAsia"/>
          <w:sz w:val="32"/>
          <w:szCs w:val="32"/>
        </w:rPr>
        <w:t>团</w:t>
      </w:r>
      <w:bookmarkStart w:id="0" w:name="_GoBack"/>
      <w:bookmarkEnd w:id="0"/>
      <w:r>
        <w:rPr>
          <w:rFonts w:ascii="方正小标宋_GBK" w:eastAsia="方正小标宋_GBK" w:cs="Calibri" w:hint="eastAsia"/>
          <w:sz w:val="32"/>
          <w:szCs w:val="32"/>
        </w:rPr>
        <w:t>体</w:t>
      </w:r>
      <w:r>
        <w:rPr>
          <w:rFonts w:ascii="方正小标宋_GBK" w:eastAsia="方正小标宋_GBK" w:cs="Calibri" w:hint="eastAsia"/>
          <w:sz w:val="32"/>
          <w:szCs w:val="32"/>
          <w:lang w:val="zh-TW" w:eastAsia="zh-TW"/>
        </w:rPr>
        <w:t>开展重大活动报备流程图</w:t>
      </w:r>
    </w:p>
    <w:p w:rsidR="00360172" w:rsidRDefault="00360172" w:rsidP="0073554A">
      <w:pPr>
        <w:adjustRightInd w:val="0"/>
        <w:snapToGrid w:val="0"/>
        <w:spacing w:line="406" w:lineRule="exact"/>
        <w:ind w:firstLineChars="200" w:firstLine="31680"/>
        <w:rPr>
          <w:rFonts w:ascii="仿宋_GB2312" w:eastAsia="仿宋_GB2312" w:hAnsi="Calibri" w:cs="仿宋_GB2312"/>
          <w:sz w:val="32"/>
          <w:szCs w:val="32"/>
        </w:rPr>
      </w:pPr>
    </w:p>
    <w:p w:rsidR="00360172" w:rsidRDefault="00360172">
      <w:pPr>
        <w:widowControl/>
        <w:jc w:val="left"/>
        <w:rPr>
          <w:rFonts w:ascii="宋体" w:cs="宋体"/>
          <w:kern w:val="0"/>
          <w:sz w:val="24"/>
        </w:rPr>
      </w:pPr>
    </w:p>
    <w:p w:rsidR="00360172" w:rsidRDefault="00360172">
      <w:pPr>
        <w:jc w:val="center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>
            <v:imagedata r:id="rId4"/>
          </v:shape>
        </w:pict>
      </w:r>
    </w:p>
    <w:sectPr w:rsidR="00360172" w:rsidSect="00A41A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9D5051D"/>
    <w:rsid w:val="000155A6"/>
    <w:rsid w:val="001C700D"/>
    <w:rsid w:val="00242150"/>
    <w:rsid w:val="00350BD5"/>
    <w:rsid w:val="00360172"/>
    <w:rsid w:val="0073554A"/>
    <w:rsid w:val="009B3162"/>
    <w:rsid w:val="00A41ABF"/>
    <w:rsid w:val="00F810E2"/>
    <w:rsid w:val="00FE4533"/>
    <w:rsid w:val="27BA388F"/>
    <w:rsid w:val="29D5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B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正文 A"/>
    <w:uiPriority w:val="99"/>
    <w:rsid w:val="00A41ABF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Administrator\AppData\Roaming\Tencent\Users\1377976154\QQ\WinTemp\RichOle\N580%25)YR%25(XMN)GSWA3SIQY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74</Words>
  <Characters>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四、执法程序6-4</dc:title>
  <dc:subject/>
  <dc:creator>Administrator</dc:creator>
  <cp:keywords/>
  <dc:description/>
  <cp:lastModifiedBy>曹文芳</cp:lastModifiedBy>
  <cp:revision>3</cp:revision>
  <dcterms:created xsi:type="dcterms:W3CDTF">2016-08-30T00:02:00Z</dcterms:created>
  <dcterms:modified xsi:type="dcterms:W3CDTF">2016-08-30T08:50:00Z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