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89" w:rsidRDefault="00037289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四、执法程序</w:t>
      </w:r>
      <w:r>
        <w:rPr>
          <w:rFonts w:ascii="宋体" w:hAnsi="宋体"/>
          <w:b/>
          <w:sz w:val="36"/>
          <w:szCs w:val="36"/>
        </w:rPr>
        <w:t>1-2</w:t>
      </w:r>
    </w:p>
    <w:p w:rsidR="00037289" w:rsidRDefault="00037289" w:rsidP="00F67D50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【行政处罚】类：</w:t>
      </w:r>
    </w:p>
    <w:p w:rsidR="00037289" w:rsidRDefault="00037289" w:rsidP="00F67D50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bookmarkStart w:id="0" w:name="_GoBack"/>
      <w:r>
        <w:rPr>
          <w:rFonts w:ascii="仿宋_GB2312" w:eastAsia="仿宋_GB2312" w:hAnsi="Calibri" w:cs="仿宋_GB2312" w:hint="eastAsia"/>
          <w:sz w:val="32"/>
          <w:szCs w:val="32"/>
        </w:rPr>
        <w:t>对基金会申请登记时弄虚作假骗取登记的，或者自取得登记证书之日起</w:t>
      </w:r>
      <w:r>
        <w:rPr>
          <w:rFonts w:ascii="仿宋_GB2312" w:eastAsia="仿宋_GB2312" w:hAnsi="Calibri" w:cs="仿宋_GB2312"/>
          <w:sz w:val="32"/>
          <w:szCs w:val="32"/>
        </w:rPr>
        <w:t>12</w:t>
      </w:r>
      <w:r>
        <w:rPr>
          <w:rFonts w:ascii="仿宋_GB2312" w:eastAsia="仿宋_GB2312" w:hAnsi="Calibri" w:cs="仿宋_GB2312" w:hint="eastAsia"/>
          <w:sz w:val="32"/>
          <w:szCs w:val="32"/>
        </w:rPr>
        <w:t>个月内未开展活动的，或者符合注销条件，不按规定办理注销登记仍继续开展活动的</w:t>
      </w:r>
      <w:bookmarkEnd w:id="0"/>
      <w:r>
        <w:rPr>
          <w:rFonts w:ascii="仿宋_GB2312" w:eastAsia="仿宋_GB2312" w:hAnsi="Calibri" w:cs="仿宋_GB2312" w:hint="eastAsia"/>
          <w:sz w:val="32"/>
          <w:szCs w:val="32"/>
        </w:rPr>
        <w:t>处罚</w:t>
      </w:r>
    </w:p>
    <w:p w:rsidR="00037289" w:rsidRDefault="00037289" w:rsidP="00F67D50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【行政法规】《基金会管理条例》（国务院令第</w:t>
      </w:r>
      <w:r>
        <w:rPr>
          <w:rFonts w:ascii="仿宋_GB2312" w:eastAsia="仿宋_GB2312" w:hAnsi="Calibri" w:cs="仿宋_GB2312"/>
          <w:sz w:val="32"/>
          <w:szCs w:val="32"/>
        </w:rPr>
        <w:t>400</w:t>
      </w:r>
      <w:r>
        <w:rPr>
          <w:rFonts w:ascii="仿宋_GB2312" w:eastAsia="仿宋_GB2312" w:hAnsi="Calibri" w:cs="仿宋_GB2312" w:hint="eastAsia"/>
          <w:sz w:val="32"/>
          <w:szCs w:val="32"/>
        </w:rPr>
        <w:t>号）第四十一条　基金会、基金会分支机构、基金会代表机构或者境外基金会代表机构有下列情形之一的，登记管理机关应当撤销登记：（一）在申请登记时弄虚作假骗取登记的，或者自取得登记证书之日起</w:t>
      </w:r>
      <w:r>
        <w:rPr>
          <w:rFonts w:ascii="仿宋_GB2312" w:eastAsia="仿宋_GB2312" w:hAnsi="Calibri" w:cs="仿宋_GB2312"/>
          <w:sz w:val="32"/>
          <w:szCs w:val="32"/>
        </w:rPr>
        <w:t>12</w:t>
      </w:r>
      <w:r>
        <w:rPr>
          <w:rFonts w:ascii="仿宋_GB2312" w:eastAsia="仿宋_GB2312" w:hAnsi="Calibri" w:cs="仿宋_GB2312" w:hint="eastAsia"/>
          <w:sz w:val="32"/>
          <w:szCs w:val="32"/>
        </w:rPr>
        <w:t>个月内未按章程规定开展活动的；（二）符合注销条件，不按照本条例的规定办理注销登记仍继续开展活动的。</w:t>
      </w:r>
    </w:p>
    <w:p w:rsidR="00037289" w:rsidRDefault="00037289" w:rsidP="00F67D50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承办机构：柳州市民政局民间组织管理科</w:t>
      </w:r>
    </w:p>
    <w:p w:rsidR="00037289" w:rsidRDefault="00037289" w:rsidP="00F67D50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实施对象：在柳州市登记管理机关登记的社会组织</w:t>
      </w:r>
    </w:p>
    <w:p w:rsidR="00037289" w:rsidRDefault="00037289" w:rsidP="00F67D50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办结时限：法定办结时限：</w:t>
      </w:r>
      <w:r>
        <w:rPr>
          <w:rFonts w:ascii="仿宋_GB2312" w:eastAsia="仿宋_GB2312" w:hAnsi="Calibri" w:cs="仿宋_GB2312"/>
          <w:sz w:val="32"/>
          <w:szCs w:val="32"/>
        </w:rPr>
        <w:t>60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个工作日。承诺办结时限：</w:t>
      </w:r>
      <w:r>
        <w:rPr>
          <w:rFonts w:ascii="仿宋_GB2312" w:eastAsia="仿宋_GB2312" w:hAnsi="Calibri" w:cs="仿宋_GB2312"/>
          <w:sz w:val="32"/>
          <w:szCs w:val="32"/>
        </w:rPr>
        <w:t>60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</w:t>
      </w:r>
    </w:p>
    <w:p w:rsidR="00037289" w:rsidRDefault="00037289" w:rsidP="00F67D50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咨询电话：（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2821164</w:t>
      </w:r>
      <w:r>
        <w:rPr>
          <w:rFonts w:ascii="仿宋_GB2312" w:eastAsia="仿宋_GB2312" w:hAnsi="Calibri" w:cs="仿宋_GB2312" w:hint="eastAsia"/>
          <w:sz w:val="32"/>
          <w:szCs w:val="32"/>
        </w:rPr>
        <w:t>；投诉电话：（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2830944</w:t>
      </w:r>
    </w:p>
    <w:p w:rsidR="00037289" w:rsidRDefault="00037289" w:rsidP="00F67D50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</w:p>
    <w:p w:rsidR="00037289" w:rsidRDefault="00037289" w:rsidP="00F67D50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  <w:sectPr w:rsidR="00037289">
          <w:pgSz w:w="11906" w:h="16838"/>
          <w:pgMar w:top="1588" w:right="1418" w:bottom="1418" w:left="1418" w:header="851" w:footer="1134" w:gutter="0"/>
          <w:cols w:space="425"/>
          <w:docGrid w:type="linesAndChars" w:linePitch="312"/>
        </w:sectPr>
      </w:pPr>
      <w:r>
        <w:rPr>
          <w:rFonts w:ascii="仿宋_GB2312" w:eastAsia="仿宋_GB2312" w:hAnsi="Calibri" w:cs="仿宋_GB2312" w:hint="eastAsia"/>
          <w:sz w:val="32"/>
          <w:szCs w:val="32"/>
        </w:rPr>
        <w:t>附件：登记管理机关行政处罚程序流程图</w:t>
      </w:r>
    </w:p>
    <w:p w:rsidR="00037289" w:rsidRDefault="00037289">
      <w:pPr>
        <w:adjustRightInd w:val="0"/>
        <w:snapToGrid w:val="0"/>
        <w:spacing w:line="406" w:lineRule="exact"/>
        <w:rPr>
          <w:rFonts w:ascii="方正小标宋_GBK" w:eastAsia="方正小标宋_GBK" w:hAnsi="宋体" w:cs="宋体"/>
          <w:sz w:val="24"/>
        </w:rPr>
      </w:pPr>
      <w:r>
        <w:rPr>
          <w:rFonts w:ascii="方正小标宋_GBK" w:eastAsia="方正小标宋_GBK" w:hAnsi="宋体" w:cs="宋体" w:hint="eastAsia"/>
          <w:sz w:val="24"/>
        </w:rPr>
        <w:t>附件：</w:t>
      </w:r>
    </w:p>
    <w:p w:rsidR="00037289" w:rsidRDefault="00037289">
      <w:pPr>
        <w:adjustRightInd w:val="0"/>
        <w:snapToGrid w:val="0"/>
        <w:spacing w:line="406" w:lineRule="exact"/>
        <w:jc w:val="center"/>
        <w:rPr>
          <w:rFonts w:ascii="方正小标宋_GBK" w:eastAsia="方正小标宋_GBK" w:hAnsi="宋体" w:cs="宋体"/>
          <w:sz w:val="32"/>
          <w:szCs w:val="32"/>
        </w:rPr>
      </w:pPr>
      <w:r>
        <w:rPr>
          <w:rFonts w:ascii="方正小标宋_GBK" w:eastAsia="方正小标宋_GBK" w:hAnsi="宋体" w:cs="宋体" w:hint="eastAsia"/>
          <w:sz w:val="32"/>
          <w:szCs w:val="32"/>
        </w:rPr>
        <w:t>登记管理机关行政处罚程序流程图</w:t>
      </w:r>
    </w:p>
    <w:p w:rsidR="00037289" w:rsidRDefault="0003728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99" o:spid="_x0000_s1026" type="#_x0000_t75" alt="登记流程图" style="position:absolute;left:0;text-align:left;margin-left:7.75pt;margin-top:5.45pt;width:441.65pt;height:601.45pt;z-index:-251658240;visibility:visible;mso-wrap-distance-left:0;mso-wrap-distance-right:0" wrapcoords="-37 0 -37 21573 21600 21573 21600 0 -37 0">
            <v:imagedata r:id="rId4" o:title="" cropleft="2494f" cropright="11706f"/>
            <w10:wrap type="tight"/>
          </v:shape>
        </w:pict>
      </w:r>
    </w:p>
    <w:sectPr w:rsidR="00037289" w:rsidSect="007F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9B6241"/>
    <w:rsid w:val="00037289"/>
    <w:rsid w:val="007F624A"/>
    <w:rsid w:val="00C803AA"/>
    <w:rsid w:val="00E80A00"/>
    <w:rsid w:val="00F67D50"/>
    <w:rsid w:val="129B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曹文芳</cp:lastModifiedBy>
  <cp:revision>2</cp:revision>
  <dcterms:created xsi:type="dcterms:W3CDTF">2016-08-26T02:55:00Z</dcterms:created>
  <dcterms:modified xsi:type="dcterms:W3CDTF">2016-08-29T01:53:00Z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