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FA" w:rsidRDefault="009052FA">
      <w:pPr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四、执法程序</w:t>
      </w:r>
      <w:r>
        <w:rPr>
          <w:rFonts w:ascii="宋体" w:hAnsi="宋体"/>
          <w:b/>
          <w:sz w:val="36"/>
          <w:szCs w:val="36"/>
        </w:rPr>
        <w:t>1-1</w:t>
      </w:r>
    </w:p>
    <w:p w:rsidR="009052FA" w:rsidRDefault="009052FA" w:rsidP="00E6119D">
      <w:pPr>
        <w:ind w:firstLineChars="200" w:firstLine="31680"/>
        <w:rPr>
          <w:rFonts w:ascii="Calibri" w:eastAsia="仿宋_GB2312" w:hAnsi="Calibri" w:cs="仿宋_GB2312"/>
          <w:color w:val="000000"/>
          <w:sz w:val="32"/>
          <w:szCs w:val="32"/>
        </w:rPr>
      </w:pPr>
      <w:r>
        <w:rPr>
          <w:rFonts w:ascii="Calibri" w:eastAsia="仿宋_GB2312" w:hAnsi="Calibri" w:cs="仿宋_GB2312" w:hint="eastAsia"/>
          <w:color w:val="000000"/>
          <w:sz w:val="32"/>
          <w:szCs w:val="32"/>
        </w:rPr>
        <w:t>【行政处罚】类：</w:t>
      </w:r>
    </w:p>
    <w:p w:rsidR="009052FA" w:rsidRDefault="009052FA" w:rsidP="00E6119D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 xml:space="preserve"> </w:t>
      </w:r>
      <w:bookmarkStart w:id="0" w:name="_GoBack"/>
      <w:r>
        <w:rPr>
          <w:rFonts w:ascii="仿宋_GB2312" w:eastAsia="仿宋_GB2312" w:hAnsi="Calibri" w:cs="仿宋_GB2312" w:hint="eastAsia"/>
          <w:sz w:val="32"/>
          <w:szCs w:val="32"/>
        </w:rPr>
        <w:t>对未经登记或者被撤销登记后以市本级基金会、基金会分支机构、基金会代表机构名义开展活动的</w:t>
      </w:r>
      <w:bookmarkEnd w:id="0"/>
      <w:r>
        <w:rPr>
          <w:rFonts w:ascii="仿宋_GB2312" w:eastAsia="仿宋_GB2312" w:hAnsi="Calibri" w:cs="仿宋_GB2312" w:hint="eastAsia"/>
          <w:sz w:val="32"/>
          <w:szCs w:val="32"/>
        </w:rPr>
        <w:t>处罚</w:t>
      </w:r>
    </w:p>
    <w:p w:rsidR="009052FA" w:rsidRDefault="009052FA" w:rsidP="00E6119D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【行政法规】《基金会管理条例》第四十条</w:t>
      </w:r>
      <w:r>
        <w:rPr>
          <w:rFonts w:ascii="仿宋_GB2312" w:eastAsia="仿宋_GB2312" w:hAnsi="Calibri" w:cs="仿宋_GB2312"/>
          <w:sz w:val="32"/>
          <w:szCs w:val="32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未经登记或者被撤销登记后以基金会、基金会分支机构、基金会代表机构或者境外基金会代表机构名义开展活动的，由登记管理机关予以取缔，没收非法财产并向社会公告。</w:t>
      </w:r>
    </w:p>
    <w:p w:rsidR="009052FA" w:rsidRDefault="009052FA" w:rsidP="00E6119D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承办机构：柳州市民政局民间组织管理科</w:t>
      </w:r>
    </w:p>
    <w:p w:rsidR="009052FA" w:rsidRDefault="009052FA" w:rsidP="00E6119D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实施对象：在柳州市登记管理机关登记的社会组织</w:t>
      </w:r>
    </w:p>
    <w:p w:rsidR="009052FA" w:rsidRDefault="009052FA" w:rsidP="00E6119D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办结时限：法定办结时限：</w:t>
      </w:r>
      <w:r>
        <w:rPr>
          <w:rFonts w:ascii="仿宋_GB2312" w:eastAsia="仿宋_GB2312" w:hAnsi="Calibri" w:cs="仿宋_GB2312"/>
          <w:sz w:val="32"/>
          <w:szCs w:val="32"/>
        </w:rPr>
        <w:t>60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个工作日。承诺办结时限：</w:t>
      </w:r>
      <w:r>
        <w:rPr>
          <w:rFonts w:ascii="仿宋_GB2312" w:eastAsia="仿宋_GB2312" w:hAnsi="Calibri" w:cs="仿宋_GB2312"/>
          <w:sz w:val="32"/>
          <w:szCs w:val="32"/>
        </w:rPr>
        <w:t>60</w:t>
      </w:r>
      <w:r>
        <w:rPr>
          <w:rFonts w:ascii="仿宋_GB2312" w:eastAsia="仿宋_GB2312" w:hAnsi="Calibri" w:cs="仿宋_GB2312" w:hint="eastAsia"/>
          <w:sz w:val="32"/>
          <w:szCs w:val="32"/>
        </w:rPr>
        <w:t>个工作日。</w:t>
      </w:r>
    </w:p>
    <w:p w:rsidR="009052FA" w:rsidRDefault="009052FA" w:rsidP="00E6119D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咨询电话：（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2821164</w:t>
      </w:r>
      <w:r>
        <w:rPr>
          <w:rFonts w:ascii="仿宋_GB2312" w:eastAsia="仿宋_GB2312" w:hAnsi="Calibri" w:cs="仿宋_GB2312" w:hint="eastAsia"/>
          <w:sz w:val="32"/>
          <w:szCs w:val="32"/>
        </w:rPr>
        <w:t>；投诉电话：（</w:t>
      </w:r>
      <w:r>
        <w:rPr>
          <w:rFonts w:ascii="仿宋_GB2312" w:eastAsia="仿宋_GB2312" w:hAnsi="Calibri" w:cs="仿宋_GB2312"/>
          <w:sz w:val="32"/>
          <w:szCs w:val="32"/>
        </w:rPr>
        <w:t>0772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  <w:r>
        <w:rPr>
          <w:rFonts w:ascii="仿宋_GB2312" w:eastAsia="仿宋_GB2312" w:hAnsi="Calibri" w:cs="仿宋_GB2312"/>
          <w:sz w:val="32"/>
          <w:szCs w:val="32"/>
        </w:rPr>
        <w:t>2830944</w:t>
      </w:r>
    </w:p>
    <w:p w:rsidR="009052FA" w:rsidRDefault="009052FA" w:rsidP="00E6119D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</w:pPr>
    </w:p>
    <w:p w:rsidR="009052FA" w:rsidRDefault="009052FA" w:rsidP="00E6119D">
      <w:pPr>
        <w:ind w:firstLineChars="221" w:firstLine="31680"/>
        <w:rPr>
          <w:rFonts w:ascii="仿宋_GB2312" w:eastAsia="仿宋_GB2312" w:hAnsi="Calibri" w:cs="仿宋_GB2312"/>
          <w:sz w:val="32"/>
          <w:szCs w:val="32"/>
        </w:rPr>
        <w:sectPr w:rsidR="009052FA">
          <w:pgSz w:w="11906" w:h="16838"/>
          <w:pgMar w:top="1588" w:right="1418" w:bottom="1418" w:left="1418" w:header="851" w:footer="1134" w:gutter="0"/>
          <w:cols w:space="425"/>
          <w:docGrid w:type="linesAndChars" w:linePitch="312"/>
        </w:sectPr>
      </w:pPr>
      <w:r>
        <w:rPr>
          <w:rFonts w:ascii="仿宋_GB2312" w:eastAsia="仿宋_GB2312" w:hAnsi="Calibri" w:cs="仿宋_GB2312" w:hint="eastAsia"/>
          <w:sz w:val="32"/>
          <w:szCs w:val="32"/>
        </w:rPr>
        <w:t>附件：登记管理机关行政处罚程序流程图</w:t>
      </w:r>
    </w:p>
    <w:p w:rsidR="009052FA" w:rsidRDefault="009052FA">
      <w:pPr>
        <w:adjustRightInd w:val="0"/>
        <w:snapToGrid w:val="0"/>
        <w:spacing w:line="406" w:lineRule="exact"/>
        <w:rPr>
          <w:rFonts w:ascii="方正小标宋_GBK" w:eastAsia="方正小标宋_GBK" w:hAnsi="宋体" w:cs="宋体"/>
          <w:sz w:val="24"/>
        </w:rPr>
      </w:pPr>
      <w:r>
        <w:rPr>
          <w:rFonts w:ascii="方正小标宋_GBK" w:eastAsia="方正小标宋_GBK" w:hAnsi="宋体" w:cs="宋体" w:hint="eastAsia"/>
          <w:sz w:val="24"/>
        </w:rPr>
        <w:t>附件：</w:t>
      </w:r>
    </w:p>
    <w:p w:rsidR="009052FA" w:rsidRDefault="009052FA">
      <w:pPr>
        <w:adjustRightInd w:val="0"/>
        <w:snapToGrid w:val="0"/>
        <w:spacing w:line="406" w:lineRule="exact"/>
        <w:jc w:val="center"/>
        <w:rPr>
          <w:rFonts w:ascii="方正小标宋_GBK" w:eastAsia="方正小标宋_GBK" w:hAnsi="宋体" w:cs="宋体"/>
          <w:sz w:val="32"/>
          <w:szCs w:val="32"/>
        </w:rPr>
      </w:pPr>
      <w:r>
        <w:rPr>
          <w:rFonts w:ascii="方正小标宋_GBK" w:eastAsia="方正小标宋_GBK" w:hAnsi="宋体" w:cs="宋体" w:hint="eastAsia"/>
          <w:sz w:val="32"/>
          <w:szCs w:val="32"/>
        </w:rPr>
        <w:t>登记管理机关行政处罚程序流程图</w:t>
      </w:r>
    </w:p>
    <w:p w:rsidR="009052FA" w:rsidRDefault="009052F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95" o:spid="_x0000_s1026" type="#_x0000_t75" alt="登记流程图" style="position:absolute;left:0;text-align:left;margin-left:7.75pt;margin-top:5.45pt;width:441.65pt;height:601.45pt;z-index:-251658240;visibility:visible;mso-wrap-distance-left:0;mso-wrap-distance-right:0" wrapcoords="-37 0 -37 21573 21600 21573 21600 0 -37 0">
            <v:imagedata r:id="rId4" o:title="" cropleft="2494f" cropright="11706f"/>
            <w10:wrap type="tight"/>
          </v:shape>
        </w:pict>
      </w:r>
    </w:p>
    <w:sectPr w:rsidR="009052FA" w:rsidSect="0007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E95156"/>
    <w:rsid w:val="00077026"/>
    <w:rsid w:val="00107DAD"/>
    <w:rsid w:val="009052FA"/>
    <w:rsid w:val="00D860C4"/>
    <w:rsid w:val="00E6119D"/>
    <w:rsid w:val="7EE9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2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47</Words>
  <Characters>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曹文芳</cp:lastModifiedBy>
  <cp:revision>2</cp:revision>
  <dcterms:created xsi:type="dcterms:W3CDTF">2016-08-26T02:55:00Z</dcterms:created>
  <dcterms:modified xsi:type="dcterms:W3CDTF">2016-08-29T01:53:00Z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