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eastAsia="仿宋_GB2312" w:cs="ArialUnicodeMS"/>
          <w:kern w:val="0"/>
          <w:sz w:val="32"/>
          <w:szCs w:val="32"/>
        </w:rPr>
      </w:pPr>
    </w:p>
    <w:p>
      <w:pPr>
        <w:rPr>
          <w:rFonts w:ascii="黑体" w:eastAsia="黑体" w:cs="ArialUnicodeMS"/>
          <w:kern w:val="0"/>
          <w:sz w:val="72"/>
          <w:szCs w:val="72"/>
        </w:rPr>
      </w:pPr>
    </w:p>
    <w:p>
      <w:pPr>
        <w:rPr>
          <w:rFonts w:ascii="黑体" w:eastAsia="黑体" w:cs="ArialUnicodeMS"/>
          <w:kern w:val="0"/>
          <w:sz w:val="72"/>
          <w:szCs w:val="72"/>
        </w:rPr>
      </w:pPr>
    </w:p>
    <w:p>
      <w:pPr>
        <w:jc w:val="center"/>
        <w:rPr>
          <w:rFonts w:ascii="黑体" w:hAnsi="黑体" w:eastAsia="黑体"/>
          <w:bCs/>
          <w:color w:val="000000"/>
          <w:sz w:val="52"/>
          <w:szCs w:val="52"/>
        </w:rPr>
      </w:pPr>
      <w:r>
        <w:rPr>
          <w:rFonts w:hint="eastAsia" w:ascii="黑体" w:eastAsia="黑体" w:cs="ArialUnicodeMS"/>
          <w:kern w:val="0"/>
          <w:sz w:val="52"/>
          <w:szCs w:val="52"/>
        </w:rPr>
        <w:t>柳州市</w:t>
      </w:r>
      <w:r>
        <w:rPr>
          <w:rFonts w:hint="eastAsia" w:ascii="黑体" w:hAnsi="黑体" w:eastAsia="黑体"/>
          <w:bCs/>
          <w:color w:val="000000"/>
          <w:sz w:val="52"/>
          <w:szCs w:val="52"/>
        </w:rPr>
        <w:t>民政局</w:t>
      </w:r>
    </w:p>
    <w:p>
      <w:pPr>
        <w:jc w:val="center"/>
        <w:rPr>
          <w:rFonts w:ascii="黑体" w:eastAsia="黑体" w:cs="ArialUnicodeMS"/>
          <w:kern w:val="0"/>
          <w:sz w:val="52"/>
          <w:szCs w:val="52"/>
        </w:rPr>
      </w:pPr>
      <w:r>
        <w:rPr>
          <w:rFonts w:hint="eastAsia" w:ascii="黑体" w:eastAsia="黑体"/>
          <w:kern w:val="0"/>
          <w:sz w:val="52"/>
          <w:szCs w:val="52"/>
        </w:rPr>
        <w:t>2020</w:t>
      </w:r>
      <w:r>
        <w:rPr>
          <w:rFonts w:hint="eastAsia" w:ascii="黑体" w:eastAsia="黑体" w:cs="ArialUnicodeMS"/>
          <w:kern w:val="0"/>
          <w:sz w:val="52"/>
          <w:szCs w:val="52"/>
        </w:rPr>
        <w:t>年度部门决算</w:t>
      </w: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rPr>
          <w:rFonts w:ascii="ArialUnicodeMS" w:eastAsia="ArialUnicodeMS" w:cs="ArialUnicodeMS"/>
          <w:kern w:val="0"/>
          <w:sz w:val="84"/>
          <w:szCs w:val="84"/>
        </w:rPr>
      </w:pPr>
    </w:p>
    <w:p>
      <w:pPr>
        <w:jc w:val="center"/>
        <w:rPr>
          <w:rFonts w:ascii="黑体" w:eastAsia="黑体" w:cs="黑体"/>
          <w:kern w:val="0"/>
          <w:sz w:val="44"/>
          <w:szCs w:val="44"/>
        </w:rPr>
      </w:pPr>
    </w:p>
    <w:p>
      <w:pPr>
        <w:ind w:firstLine="646"/>
        <w:jc w:val="center"/>
        <w:rPr>
          <w:rFonts w:ascii="方正小标宋简体" w:eastAsia="方正小标宋简体"/>
          <w:b/>
          <w:sz w:val="44"/>
          <w:szCs w:val="44"/>
        </w:rPr>
      </w:pPr>
      <w:r>
        <w:rPr>
          <w:rFonts w:hint="eastAsia" w:ascii="方正小标宋简体" w:eastAsia="方正小标宋简体"/>
          <w:b/>
          <w:sz w:val="44"/>
          <w:szCs w:val="44"/>
        </w:rPr>
        <w:t>目    录</w:t>
      </w:r>
    </w:p>
    <w:p>
      <w:pPr>
        <w:ind w:firstLine="645"/>
        <w:rPr>
          <w:rFonts w:ascii="仿宋_GB2312" w:eastAsia="仿宋_GB2312"/>
          <w:b/>
          <w:sz w:val="32"/>
          <w:szCs w:val="32"/>
        </w:rPr>
      </w:pPr>
    </w:p>
    <w:p>
      <w:pPr>
        <w:ind w:firstLine="645"/>
        <w:rPr>
          <w:rFonts w:ascii="仿宋_GB2312" w:eastAsia="仿宋_GB2312"/>
          <w:b/>
          <w:sz w:val="32"/>
          <w:szCs w:val="32"/>
        </w:rPr>
      </w:pPr>
      <w:r>
        <w:rPr>
          <w:rFonts w:hint="eastAsia" w:ascii="仿宋_GB2312" w:eastAsia="仿宋_GB2312"/>
          <w:b/>
          <w:sz w:val="32"/>
          <w:szCs w:val="32"/>
        </w:rPr>
        <w:t>第一部分：</w:t>
      </w:r>
      <w:r>
        <w:rPr>
          <w:rFonts w:hint="eastAsia" w:ascii="仿宋_GB2312" w:hAnsi="黑体" w:eastAsia="仿宋_GB2312"/>
          <w:b/>
          <w:bCs/>
          <w:color w:val="000000"/>
          <w:sz w:val="32"/>
          <w:szCs w:val="32"/>
        </w:rPr>
        <w:t>柳州市民政局</w:t>
      </w:r>
      <w:r>
        <w:rPr>
          <w:rFonts w:hint="eastAsia" w:ascii="仿宋_GB2312" w:eastAsia="仿宋_GB2312"/>
          <w:b/>
          <w:sz w:val="32"/>
          <w:szCs w:val="32"/>
        </w:rPr>
        <w:t>概况</w:t>
      </w:r>
    </w:p>
    <w:p>
      <w:pPr>
        <w:ind w:firstLine="645"/>
        <w:rPr>
          <w:rFonts w:ascii="仿宋_GB2312" w:eastAsia="仿宋_GB2312"/>
          <w:sz w:val="32"/>
          <w:szCs w:val="32"/>
        </w:rPr>
      </w:pPr>
      <w:r>
        <w:rPr>
          <w:rFonts w:hint="eastAsia" w:ascii="仿宋_GB2312" w:eastAsia="仿宋_GB2312"/>
          <w:sz w:val="32"/>
          <w:szCs w:val="32"/>
        </w:rPr>
        <w:t>一、主要职能</w:t>
      </w:r>
    </w:p>
    <w:p>
      <w:pPr>
        <w:ind w:firstLine="645"/>
        <w:rPr>
          <w:rFonts w:ascii="仿宋_GB2312" w:eastAsia="仿宋_GB2312"/>
          <w:sz w:val="32"/>
          <w:szCs w:val="32"/>
        </w:rPr>
      </w:pPr>
      <w:r>
        <w:rPr>
          <w:rFonts w:hint="eastAsia" w:ascii="仿宋_GB2312" w:eastAsia="仿宋_GB2312"/>
          <w:sz w:val="32"/>
          <w:szCs w:val="32"/>
        </w:rPr>
        <w:t>二、部门决算单位构成</w:t>
      </w:r>
    </w:p>
    <w:p>
      <w:pPr>
        <w:ind w:firstLine="645"/>
        <w:rPr>
          <w:rFonts w:ascii="仿宋_GB2312" w:eastAsia="仿宋_GB2312"/>
          <w:b/>
          <w:sz w:val="32"/>
          <w:szCs w:val="32"/>
        </w:rPr>
      </w:pPr>
      <w:r>
        <w:rPr>
          <w:rFonts w:hint="eastAsia" w:ascii="仿宋_GB2312" w:eastAsia="仿宋_GB2312"/>
          <w:b/>
          <w:sz w:val="32"/>
          <w:szCs w:val="32"/>
        </w:rPr>
        <w:t>第二部分：</w:t>
      </w:r>
      <w:r>
        <w:rPr>
          <w:rFonts w:hint="eastAsia" w:ascii="仿宋_GB2312" w:hAnsi="黑体" w:eastAsia="仿宋_GB2312"/>
          <w:b/>
          <w:bCs/>
          <w:color w:val="000000"/>
          <w:sz w:val="32"/>
          <w:szCs w:val="32"/>
        </w:rPr>
        <w:t>柳州市民政局</w:t>
      </w:r>
      <w:r>
        <w:rPr>
          <w:rFonts w:hint="eastAsia" w:ascii="仿宋_GB2312" w:eastAsia="仿宋_GB2312"/>
          <w:b/>
          <w:sz w:val="32"/>
          <w:szCs w:val="32"/>
        </w:rPr>
        <w:t>2020年部门决算报表</w:t>
      </w:r>
    </w:p>
    <w:p>
      <w:pPr>
        <w:ind w:left="645"/>
        <w:rPr>
          <w:rFonts w:ascii="仿宋_GB2312" w:eastAsia="仿宋_GB2312"/>
          <w:sz w:val="32"/>
          <w:szCs w:val="32"/>
        </w:rPr>
      </w:pPr>
      <w:r>
        <w:rPr>
          <w:rFonts w:hint="eastAsia" w:ascii="仿宋_GB2312" w:eastAsia="仿宋_GB2312"/>
          <w:sz w:val="32"/>
          <w:szCs w:val="32"/>
        </w:rPr>
        <w:t>表一：收入支出决算总表</w:t>
      </w:r>
    </w:p>
    <w:p>
      <w:pPr>
        <w:ind w:left="645"/>
        <w:rPr>
          <w:rFonts w:ascii="仿宋_GB2312" w:eastAsia="仿宋_GB2312"/>
          <w:sz w:val="32"/>
          <w:szCs w:val="32"/>
        </w:rPr>
      </w:pPr>
      <w:r>
        <w:rPr>
          <w:rFonts w:hint="eastAsia" w:ascii="仿宋_GB2312" w:eastAsia="仿宋_GB2312"/>
          <w:sz w:val="32"/>
          <w:szCs w:val="32"/>
        </w:rPr>
        <w:t>表二：收入决算表</w:t>
      </w:r>
    </w:p>
    <w:p>
      <w:pPr>
        <w:ind w:left="645"/>
        <w:rPr>
          <w:rFonts w:ascii="仿宋_GB2312" w:eastAsia="仿宋_GB2312"/>
          <w:sz w:val="32"/>
          <w:szCs w:val="32"/>
        </w:rPr>
      </w:pPr>
      <w:r>
        <w:rPr>
          <w:rFonts w:hint="eastAsia" w:ascii="仿宋_GB2312" w:eastAsia="仿宋_GB2312"/>
          <w:sz w:val="32"/>
          <w:szCs w:val="32"/>
        </w:rPr>
        <w:t>表三：支出决算表</w:t>
      </w:r>
    </w:p>
    <w:p>
      <w:pPr>
        <w:ind w:left="645"/>
        <w:rPr>
          <w:rFonts w:ascii="仿宋_GB2312" w:eastAsia="仿宋_GB2312"/>
          <w:sz w:val="32"/>
          <w:szCs w:val="32"/>
        </w:rPr>
      </w:pPr>
      <w:r>
        <w:rPr>
          <w:rFonts w:hint="eastAsia" w:ascii="仿宋_GB2312" w:eastAsia="仿宋_GB2312"/>
          <w:sz w:val="32"/>
          <w:szCs w:val="32"/>
        </w:rPr>
        <w:t>表四：财政拨款收入支出决算总表</w:t>
      </w:r>
    </w:p>
    <w:p>
      <w:pPr>
        <w:ind w:left="645"/>
        <w:rPr>
          <w:rFonts w:ascii="仿宋_GB2312" w:eastAsia="仿宋_GB2312"/>
          <w:sz w:val="32"/>
          <w:szCs w:val="32"/>
        </w:rPr>
      </w:pPr>
      <w:r>
        <w:rPr>
          <w:rFonts w:hint="eastAsia" w:ascii="仿宋_GB2312" w:eastAsia="仿宋_GB2312"/>
          <w:sz w:val="32"/>
          <w:szCs w:val="32"/>
        </w:rPr>
        <w:t>表五：一般公共预算财政拨款支出决算表</w:t>
      </w:r>
    </w:p>
    <w:p>
      <w:pPr>
        <w:ind w:left="645"/>
        <w:rPr>
          <w:rFonts w:ascii="仿宋_GB2312" w:eastAsia="仿宋_GB2312"/>
          <w:sz w:val="32"/>
          <w:szCs w:val="32"/>
        </w:rPr>
      </w:pPr>
      <w:r>
        <w:rPr>
          <w:rFonts w:hint="eastAsia" w:ascii="仿宋_GB2312" w:eastAsia="仿宋_GB2312"/>
          <w:sz w:val="32"/>
          <w:szCs w:val="32"/>
        </w:rPr>
        <w:t>表六：一般公共预算财政拨款基本支出决算表</w:t>
      </w:r>
    </w:p>
    <w:p>
      <w:pPr>
        <w:ind w:left="645"/>
        <w:rPr>
          <w:rFonts w:ascii="仿宋_GB2312" w:eastAsia="仿宋_GB2312"/>
          <w:sz w:val="32"/>
          <w:szCs w:val="32"/>
        </w:rPr>
      </w:pPr>
      <w:r>
        <w:rPr>
          <w:rFonts w:hint="eastAsia" w:ascii="仿宋_GB2312" w:eastAsia="仿宋_GB2312"/>
          <w:sz w:val="32"/>
          <w:szCs w:val="32"/>
        </w:rPr>
        <w:t>表七：一般公共预算财政拨款安排的“</w:t>
      </w:r>
      <w:r>
        <w:rPr>
          <w:rFonts w:ascii="仿宋_GB2312" w:eastAsia="仿宋_GB2312"/>
          <w:sz w:val="32"/>
          <w:szCs w:val="32"/>
        </w:rPr>
        <w:t>三公</w:t>
      </w:r>
      <w:r>
        <w:rPr>
          <w:rFonts w:hint="eastAsia" w:ascii="仿宋_GB2312" w:eastAsia="仿宋_GB2312"/>
          <w:sz w:val="32"/>
          <w:szCs w:val="32"/>
        </w:rPr>
        <w:t>”</w:t>
      </w:r>
      <w:r>
        <w:rPr>
          <w:rFonts w:ascii="仿宋_GB2312" w:eastAsia="仿宋_GB2312"/>
          <w:sz w:val="32"/>
          <w:szCs w:val="32"/>
        </w:rPr>
        <w:t>经费</w:t>
      </w:r>
      <w:r>
        <w:rPr>
          <w:rFonts w:hint="eastAsia" w:ascii="仿宋_GB2312" w:eastAsia="仿宋_GB2312"/>
          <w:sz w:val="32"/>
          <w:szCs w:val="32"/>
        </w:rPr>
        <w:t>支出决算表</w:t>
      </w:r>
    </w:p>
    <w:p>
      <w:pPr>
        <w:ind w:left="645"/>
        <w:rPr>
          <w:rFonts w:ascii="仿宋_GB2312" w:eastAsia="仿宋_GB2312"/>
          <w:sz w:val="32"/>
          <w:szCs w:val="32"/>
        </w:rPr>
      </w:pPr>
      <w:r>
        <w:rPr>
          <w:rFonts w:hint="eastAsia" w:ascii="仿宋_GB2312" w:eastAsia="仿宋_GB2312"/>
          <w:sz w:val="32"/>
          <w:szCs w:val="32"/>
        </w:rPr>
        <w:t>表八：政府性基金</w:t>
      </w:r>
      <w:r>
        <w:rPr>
          <w:rFonts w:hint="eastAsia" w:ascii="仿宋_GB2312" w:hAnsi="黑体" w:eastAsia="仿宋_GB2312"/>
          <w:sz w:val="32"/>
          <w:szCs w:val="32"/>
        </w:rPr>
        <w:t>预算财政拨款</w:t>
      </w:r>
      <w:r>
        <w:rPr>
          <w:rFonts w:hint="eastAsia" w:ascii="仿宋_GB2312" w:eastAsia="仿宋_GB2312"/>
          <w:sz w:val="32"/>
          <w:szCs w:val="32"/>
        </w:rPr>
        <w:t>收入支出决算表</w:t>
      </w:r>
    </w:p>
    <w:p>
      <w:pPr>
        <w:ind w:left="645"/>
        <w:rPr>
          <w:rFonts w:ascii="仿宋_GB2312" w:eastAsia="仿宋_GB2312"/>
          <w:sz w:val="32"/>
          <w:szCs w:val="32"/>
        </w:rPr>
      </w:pPr>
      <w:r>
        <w:rPr>
          <w:rFonts w:hint="eastAsia" w:ascii="仿宋_GB2312" w:eastAsia="仿宋_GB2312"/>
          <w:sz w:val="32"/>
          <w:szCs w:val="32"/>
        </w:rPr>
        <w:t>表九：国有资本经营预算财政拨款支出决算表</w:t>
      </w:r>
    </w:p>
    <w:p>
      <w:pPr>
        <w:ind w:firstLine="645"/>
        <w:rPr>
          <w:rFonts w:ascii="仿宋_GB2312" w:eastAsia="仿宋_GB2312"/>
          <w:b/>
          <w:sz w:val="32"/>
          <w:szCs w:val="32"/>
        </w:rPr>
      </w:pPr>
      <w:r>
        <w:rPr>
          <w:rFonts w:hint="eastAsia" w:ascii="仿宋_GB2312" w:eastAsia="仿宋_GB2312"/>
          <w:b/>
          <w:sz w:val="32"/>
          <w:szCs w:val="32"/>
        </w:rPr>
        <w:t>第三部分：</w:t>
      </w:r>
      <w:r>
        <w:rPr>
          <w:rFonts w:hint="eastAsia" w:ascii="仿宋_GB2312" w:hAnsi="黑体" w:eastAsia="仿宋_GB2312"/>
          <w:b/>
          <w:bCs/>
          <w:color w:val="000000"/>
          <w:sz w:val="32"/>
          <w:szCs w:val="32"/>
        </w:rPr>
        <w:t>柳州市民政局</w:t>
      </w:r>
      <w:r>
        <w:rPr>
          <w:rFonts w:hint="eastAsia" w:ascii="仿宋_GB2312" w:eastAsia="仿宋_GB2312"/>
          <w:b/>
          <w:sz w:val="32"/>
          <w:szCs w:val="32"/>
        </w:rPr>
        <w:t>2020年度部门决算情况说明</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一、</w:t>
      </w:r>
      <w:r>
        <w:rPr>
          <w:rFonts w:hint="eastAsia" w:eastAsia="仿宋_GB2312"/>
          <w:kern w:val="0"/>
          <w:sz w:val="32"/>
          <w:szCs w:val="32"/>
        </w:rPr>
        <w:t>2020</w:t>
      </w:r>
      <w:r>
        <w:rPr>
          <w:rFonts w:eastAsia="仿宋_GB2312"/>
          <w:kern w:val="0"/>
          <w:sz w:val="32"/>
          <w:szCs w:val="32"/>
        </w:rPr>
        <w:t xml:space="preserve"> </w:t>
      </w:r>
      <w:r>
        <w:rPr>
          <w:rFonts w:hint="eastAsia" w:ascii="仿宋_GB2312" w:eastAsia="仿宋_GB2312" w:cs="仿宋_GB2312"/>
          <w:kern w:val="0"/>
          <w:sz w:val="32"/>
          <w:szCs w:val="32"/>
        </w:rPr>
        <w:t>年度收入支出决算总体情况。</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二、</w:t>
      </w:r>
      <w:r>
        <w:rPr>
          <w:rFonts w:hint="eastAsia" w:eastAsia="仿宋_GB2312"/>
          <w:kern w:val="0"/>
          <w:sz w:val="32"/>
          <w:szCs w:val="32"/>
        </w:rPr>
        <w:t>2020</w:t>
      </w:r>
      <w:r>
        <w:rPr>
          <w:rFonts w:eastAsia="仿宋_GB2312"/>
          <w:kern w:val="0"/>
          <w:sz w:val="32"/>
          <w:szCs w:val="32"/>
        </w:rPr>
        <w:t xml:space="preserve"> </w:t>
      </w:r>
      <w:r>
        <w:rPr>
          <w:rFonts w:hint="eastAsia" w:ascii="仿宋_GB2312" w:eastAsia="仿宋_GB2312" w:cs="仿宋_GB2312"/>
          <w:kern w:val="0"/>
          <w:sz w:val="32"/>
          <w:szCs w:val="32"/>
        </w:rPr>
        <w:t>年度收入决算情况。</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三、</w:t>
      </w:r>
      <w:r>
        <w:rPr>
          <w:rFonts w:hint="eastAsia" w:eastAsia="仿宋_GB2312"/>
          <w:kern w:val="0"/>
          <w:sz w:val="32"/>
          <w:szCs w:val="32"/>
        </w:rPr>
        <w:t>2020</w:t>
      </w:r>
      <w:r>
        <w:rPr>
          <w:rFonts w:eastAsia="仿宋_GB2312"/>
          <w:kern w:val="0"/>
          <w:sz w:val="32"/>
          <w:szCs w:val="32"/>
        </w:rPr>
        <w:t xml:space="preserve"> </w:t>
      </w:r>
      <w:r>
        <w:rPr>
          <w:rFonts w:hint="eastAsia" w:ascii="仿宋_GB2312" w:eastAsia="仿宋_GB2312" w:cs="仿宋_GB2312"/>
          <w:kern w:val="0"/>
          <w:sz w:val="32"/>
          <w:szCs w:val="32"/>
        </w:rPr>
        <w:t>年度支出决算情况</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四、</w:t>
      </w:r>
      <w:r>
        <w:rPr>
          <w:rFonts w:hint="eastAsia" w:eastAsia="仿宋_GB2312"/>
          <w:kern w:val="0"/>
          <w:sz w:val="32"/>
          <w:szCs w:val="32"/>
        </w:rPr>
        <w:t>2020</w:t>
      </w:r>
      <w:r>
        <w:rPr>
          <w:rFonts w:hint="eastAsia" w:ascii="仿宋_GB2312" w:eastAsia="仿宋_GB2312" w:cs="仿宋_GB2312"/>
          <w:kern w:val="0"/>
          <w:sz w:val="32"/>
          <w:szCs w:val="32"/>
        </w:rPr>
        <w:t>年度财政拨款收入支出决算情况</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五、</w:t>
      </w:r>
      <w:r>
        <w:rPr>
          <w:rFonts w:hint="eastAsia" w:eastAsia="仿宋_GB2312"/>
          <w:kern w:val="0"/>
          <w:sz w:val="32"/>
          <w:szCs w:val="32"/>
        </w:rPr>
        <w:t>2020</w:t>
      </w:r>
      <w:r>
        <w:rPr>
          <w:rFonts w:eastAsia="仿宋_GB2312"/>
          <w:kern w:val="0"/>
          <w:sz w:val="32"/>
          <w:szCs w:val="32"/>
        </w:rPr>
        <w:t xml:space="preserve"> </w:t>
      </w:r>
      <w:r>
        <w:rPr>
          <w:rFonts w:hint="eastAsia" w:ascii="仿宋_GB2312" w:eastAsia="仿宋_GB2312" w:cs="仿宋_GB2312"/>
          <w:kern w:val="0"/>
          <w:sz w:val="32"/>
          <w:szCs w:val="32"/>
        </w:rPr>
        <w:t>年度一般公共预算财政拨款支出决算情况</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六、</w:t>
      </w:r>
      <w:r>
        <w:rPr>
          <w:rFonts w:hint="eastAsia" w:eastAsia="仿宋_GB2312"/>
          <w:kern w:val="0"/>
          <w:sz w:val="32"/>
          <w:szCs w:val="32"/>
        </w:rPr>
        <w:t>2020</w:t>
      </w:r>
      <w:r>
        <w:rPr>
          <w:rFonts w:eastAsia="仿宋_GB2312"/>
          <w:kern w:val="0"/>
          <w:sz w:val="32"/>
          <w:szCs w:val="32"/>
        </w:rPr>
        <w:t xml:space="preserve"> </w:t>
      </w:r>
      <w:r>
        <w:rPr>
          <w:rFonts w:hint="eastAsia" w:ascii="仿宋_GB2312" w:eastAsia="仿宋_GB2312" w:cs="仿宋_GB2312"/>
          <w:kern w:val="0"/>
          <w:sz w:val="32"/>
          <w:szCs w:val="32"/>
        </w:rPr>
        <w:t>年度一般公共预算财政拨款基本支出决算情况</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七、</w:t>
      </w:r>
      <w:r>
        <w:rPr>
          <w:rFonts w:hint="eastAsia" w:eastAsia="仿宋_GB2312"/>
          <w:kern w:val="0"/>
          <w:sz w:val="32"/>
          <w:szCs w:val="32"/>
        </w:rPr>
        <w:t>2020</w:t>
      </w:r>
      <w:r>
        <w:rPr>
          <w:rFonts w:eastAsia="仿宋_GB2312"/>
          <w:kern w:val="0"/>
          <w:sz w:val="32"/>
          <w:szCs w:val="32"/>
        </w:rPr>
        <w:t xml:space="preserve"> </w:t>
      </w:r>
      <w:r>
        <w:rPr>
          <w:rFonts w:hint="eastAsia" w:ascii="仿宋_GB2312" w:eastAsia="仿宋_GB2312" w:cs="仿宋_GB2312"/>
          <w:kern w:val="0"/>
          <w:sz w:val="32"/>
          <w:szCs w:val="32"/>
        </w:rPr>
        <w:t>年度一般公共预算财政拨款“三公”经费支出决算情况</w:t>
      </w:r>
    </w:p>
    <w:p>
      <w:pPr>
        <w:autoSpaceDE w:val="0"/>
        <w:autoSpaceDN w:val="0"/>
        <w:adjustRightInd w:val="0"/>
        <w:ind w:firstLine="640" w:firstLineChars="200"/>
        <w:jc w:val="left"/>
        <w:rPr>
          <w:rFonts w:ascii="仿宋_GB2312" w:eastAsia="仿宋_GB2312" w:cs="仿宋_GB2312"/>
          <w:bCs/>
          <w:kern w:val="0"/>
          <w:sz w:val="32"/>
          <w:szCs w:val="32"/>
        </w:rPr>
      </w:pPr>
      <w:r>
        <w:rPr>
          <w:rFonts w:hint="eastAsia" w:ascii="仿宋_GB2312" w:eastAsia="仿宋_GB2312" w:cs="仿宋_GB2312"/>
          <w:kern w:val="0"/>
          <w:sz w:val="32"/>
          <w:szCs w:val="32"/>
        </w:rPr>
        <w:t>八、</w:t>
      </w:r>
      <w:r>
        <w:rPr>
          <w:rFonts w:hint="eastAsia" w:eastAsia="仿宋_GB2312"/>
          <w:kern w:val="0"/>
          <w:sz w:val="32"/>
          <w:szCs w:val="32"/>
        </w:rPr>
        <w:t>2020</w:t>
      </w:r>
      <w:r>
        <w:rPr>
          <w:rFonts w:hint="eastAsia" w:ascii="仿宋_GB2312" w:eastAsia="仿宋_GB2312" w:cs="仿宋_GB2312"/>
          <w:bCs/>
          <w:kern w:val="0"/>
          <w:sz w:val="32"/>
          <w:szCs w:val="32"/>
        </w:rPr>
        <w:t xml:space="preserve"> 年度政府性基金预算财政拨款收入支出决算情况</w:t>
      </w:r>
    </w:p>
    <w:p>
      <w:pPr>
        <w:ind w:left="645"/>
        <w:rPr>
          <w:rFonts w:ascii="仿宋_GB2312" w:eastAsia="仿宋_GB2312" w:cs="仿宋_GB2312"/>
          <w:bCs/>
          <w:kern w:val="0"/>
          <w:sz w:val="32"/>
          <w:szCs w:val="32"/>
        </w:rPr>
      </w:pPr>
      <w:r>
        <w:rPr>
          <w:rFonts w:hint="eastAsia" w:ascii="仿宋_GB2312" w:eastAsia="仿宋_GB2312" w:cs="仿宋_GB2312"/>
          <w:bCs/>
          <w:kern w:val="0"/>
          <w:sz w:val="32"/>
          <w:szCs w:val="32"/>
        </w:rPr>
        <w:t>九、</w:t>
      </w:r>
      <w:r>
        <w:rPr>
          <w:rFonts w:hint="eastAsia" w:ascii="仿宋_GB2312" w:eastAsia="仿宋_GB2312"/>
          <w:sz w:val="32"/>
          <w:szCs w:val="32"/>
        </w:rPr>
        <w:t>国有资本经营预算财政拨款支出决算情况</w:t>
      </w:r>
    </w:p>
    <w:p>
      <w:pPr>
        <w:autoSpaceDE w:val="0"/>
        <w:autoSpaceDN w:val="0"/>
        <w:adjustRightInd w:val="0"/>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十、</w:t>
      </w:r>
      <w:r>
        <w:rPr>
          <w:rFonts w:hint="eastAsia" w:eastAsia="仿宋_GB2312"/>
          <w:kern w:val="0"/>
          <w:sz w:val="32"/>
          <w:szCs w:val="32"/>
        </w:rPr>
        <w:t>2020</w:t>
      </w:r>
      <w:r>
        <w:rPr>
          <w:rFonts w:hint="eastAsia" w:ascii="仿宋_GB2312" w:eastAsia="仿宋_GB2312" w:cs="仿宋_GB2312"/>
          <w:bCs/>
          <w:kern w:val="0"/>
          <w:sz w:val="32"/>
          <w:szCs w:val="32"/>
        </w:rPr>
        <w:t xml:space="preserve"> 年度预算绩效情况说明</w:t>
      </w:r>
    </w:p>
    <w:p>
      <w:pPr>
        <w:autoSpaceDE w:val="0"/>
        <w:autoSpaceDN w:val="0"/>
        <w:adjustRightInd w:val="0"/>
        <w:ind w:firstLine="640" w:firstLineChars="200"/>
        <w:jc w:val="left"/>
        <w:rPr>
          <w:rFonts w:ascii="仿宋_GB2312" w:eastAsia="仿宋_GB2312" w:cs="仿宋_GB2312"/>
          <w:kern w:val="0"/>
          <w:sz w:val="32"/>
          <w:szCs w:val="32"/>
        </w:rPr>
      </w:pPr>
      <w:r>
        <w:rPr>
          <w:rFonts w:hint="eastAsia" w:ascii="仿宋_GB2312" w:eastAsia="仿宋_GB2312" w:cs="仿宋_GB2312"/>
          <w:bCs/>
          <w:kern w:val="0"/>
          <w:sz w:val="32"/>
          <w:szCs w:val="32"/>
        </w:rPr>
        <w:t>十一、其他重要事项的情况说明</w:t>
      </w:r>
    </w:p>
    <w:p>
      <w:pPr>
        <w:ind w:firstLine="645"/>
        <w:rPr>
          <w:rFonts w:ascii="仿宋_GB2312" w:eastAsia="仿宋_GB2312"/>
          <w:b/>
          <w:sz w:val="32"/>
          <w:szCs w:val="32"/>
        </w:rPr>
      </w:pPr>
      <w:r>
        <w:rPr>
          <w:rFonts w:hint="eastAsia" w:ascii="仿宋_GB2312" w:eastAsia="仿宋_GB2312"/>
          <w:b/>
          <w:sz w:val="32"/>
          <w:szCs w:val="32"/>
        </w:rPr>
        <w:t>第四部分：名词解释</w:t>
      </w:r>
    </w:p>
    <w:p>
      <w:pPr>
        <w:ind w:firstLine="646"/>
        <w:jc w:val="center"/>
        <w:rPr>
          <w:rFonts w:ascii="仿宋_GB2312" w:eastAsia="仿宋_GB2312"/>
          <w:b/>
          <w:sz w:val="32"/>
          <w:szCs w:val="32"/>
        </w:rPr>
      </w:pPr>
      <w:r>
        <w:rPr>
          <w:rFonts w:hint="eastAsia" w:ascii="仿宋_GB2312" w:eastAsia="仿宋_GB2312" w:cs="仿宋_GB2312"/>
          <w:bCs/>
          <w:kern w:val="0"/>
          <w:sz w:val="32"/>
          <w:szCs w:val="32"/>
        </w:rPr>
        <w:br w:type="page"/>
      </w:r>
      <w:r>
        <w:rPr>
          <w:rFonts w:hint="eastAsia" w:ascii="仿宋_GB2312" w:eastAsia="仿宋_GB2312"/>
          <w:b/>
          <w:sz w:val="32"/>
          <w:szCs w:val="32"/>
        </w:rPr>
        <w:t>第一部分：</w:t>
      </w:r>
      <w:r>
        <w:rPr>
          <w:rFonts w:hint="eastAsia" w:ascii="仿宋_GB2312" w:hAnsi="黑体" w:eastAsia="仿宋_GB2312"/>
          <w:b/>
          <w:bCs/>
          <w:color w:val="000000"/>
          <w:sz w:val="32"/>
          <w:szCs w:val="32"/>
        </w:rPr>
        <w:t>柳州市民政局</w:t>
      </w:r>
      <w:r>
        <w:rPr>
          <w:rFonts w:hint="eastAsia" w:ascii="仿宋_GB2312" w:eastAsia="仿宋_GB2312"/>
          <w:b/>
          <w:sz w:val="32"/>
          <w:szCs w:val="32"/>
        </w:rPr>
        <w:t>概况</w:t>
      </w:r>
    </w:p>
    <w:p>
      <w:pPr>
        <w:ind w:firstLine="646"/>
        <w:rPr>
          <w:rFonts w:ascii="仿宋_GB2312" w:eastAsia="仿宋_GB2312"/>
          <w:sz w:val="32"/>
          <w:szCs w:val="32"/>
        </w:rPr>
      </w:pPr>
      <w:r>
        <w:rPr>
          <w:rFonts w:hint="eastAsia" w:ascii="仿宋_GB2312" w:eastAsia="仿宋_GB2312"/>
          <w:sz w:val="32"/>
          <w:szCs w:val="32"/>
        </w:rPr>
        <w:t>一、主要职能</w:t>
      </w:r>
    </w:p>
    <w:p>
      <w:pPr>
        <w:snapToGrid w:val="0"/>
        <w:ind w:firstLine="640" w:firstLineChars="200"/>
        <w:rPr>
          <w:rFonts w:ascii="仿宋" w:hAnsi="仿宋" w:eastAsia="仿宋" w:cs="仿宋"/>
          <w:sz w:val="32"/>
          <w:szCs w:val="32"/>
        </w:rPr>
      </w:pPr>
      <w:r>
        <w:rPr>
          <w:rFonts w:hint="eastAsia" w:ascii="仿宋" w:hAnsi="仿宋" w:eastAsia="仿宋" w:cs="仿宋"/>
          <w:sz w:val="32"/>
          <w:szCs w:val="32"/>
        </w:rPr>
        <w:t>柳州市民政局是主管社会行政事务的职能部门，履行着“上为政府分忧，下为群众解愁”的重要职能，负责</w:t>
      </w:r>
      <w:r>
        <w:rPr>
          <w:rFonts w:hint="eastAsia" w:ascii="仿宋" w:hAnsi="仿宋" w:eastAsia="仿宋" w:cs="仿宋"/>
          <w:color w:val="333333"/>
          <w:sz w:val="32"/>
          <w:szCs w:val="32"/>
          <w:shd w:val="clear" w:color="auto" w:fill="FFFFFF"/>
        </w:rPr>
        <w:t>养老服务、儿童福利、</w:t>
      </w:r>
      <w:r>
        <w:fldChar w:fldCharType="begin"/>
      </w:r>
      <w:r>
        <w:instrText xml:space="preserve"> HYPERLINK "http://baike.sogou.com/lemma/ShowInnerLink.htm?lemmaId=7572373&amp;ss_c=ssc.citiao.link" \t "_blank" </w:instrText>
      </w:r>
      <w:r>
        <w:fldChar w:fldCharType="separate"/>
      </w:r>
      <w:r>
        <w:rPr>
          <w:rFonts w:hint="eastAsia" w:ascii="仿宋" w:hAnsi="仿宋" w:eastAsia="仿宋" w:cs="仿宋"/>
          <w:sz w:val="32"/>
          <w:szCs w:val="32"/>
        </w:rPr>
        <w:t>婚姻登记</w:t>
      </w:r>
      <w:r>
        <w:rPr>
          <w:rFonts w:hint="eastAsia" w:ascii="仿宋" w:hAnsi="仿宋" w:eastAsia="仿宋" w:cs="仿宋"/>
          <w:sz w:val="32"/>
          <w:szCs w:val="32"/>
        </w:rPr>
        <w:fldChar w:fldCharType="end"/>
      </w:r>
      <w:r>
        <w:rPr>
          <w:rFonts w:hint="eastAsia" w:ascii="仿宋" w:hAnsi="仿宋" w:eastAsia="仿宋" w:cs="仿宋"/>
          <w:sz w:val="32"/>
          <w:szCs w:val="32"/>
        </w:rPr>
        <w:t>、</w:t>
      </w:r>
      <w:r>
        <w:rPr>
          <w:rFonts w:hint="eastAsia" w:ascii="仿宋" w:hAnsi="仿宋" w:eastAsia="仿宋" w:cs="仿宋"/>
          <w:color w:val="333333"/>
          <w:sz w:val="32"/>
          <w:szCs w:val="32"/>
          <w:shd w:val="clear" w:color="auto" w:fill="FFFFFF"/>
        </w:rPr>
        <w:t>社会工作</w:t>
      </w:r>
      <w:r>
        <w:rPr>
          <w:rFonts w:hint="eastAsia" w:ascii="仿宋" w:hAnsi="仿宋" w:eastAsia="仿宋" w:cs="仿宋"/>
          <w:sz w:val="32"/>
          <w:szCs w:val="32"/>
        </w:rPr>
        <w:t>、</w:t>
      </w:r>
      <w:r>
        <w:rPr>
          <w:rFonts w:hint="eastAsia" w:ascii="仿宋" w:hAnsi="仿宋" w:eastAsia="仿宋" w:cs="仿宋"/>
          <w:color w:val="333333"/>
          <w:sz w:val="32"/>
          <w:szCs w:val="32"/>
          <w:shd w:val="clear" w:color="auto" w:fill="FFFFFF"/>
        </w:rPr>
        <w:t>地名管理及标准化建设</w:t>
      </w:r>
      <w:r>
        <w:rPr>
          <w:rFonts w:hint="eastAsia" w:ascii="仿宋" w:hAnsi="仿宋" w:eastAsia="仿宋" w:cs="仿宋"/>
          <w:sz w:val="32"/>
          <w:szCs w:val="32"/>
        </w:rPr>
        <w:t>、</w:t>
      </w:r>
      <w:r>
        <w:rPr>
          <w:rFonts w:hint="eastAsia" w:ascii="仿宋" w:hAnsi="仿宋" w:eastAsia="仿宋" w:cs="仿宋"/>
          <w:color w:val="333333"/>
          <w:sz w:val="32"/>
          <w:szCs w:val="32"/>
          <w:shd w:val="clear" w:color="auto" w:fill="FFFFFF"/>
        </w:rPr>
        <w:t>城乡基层政权建设</w:t>
      </w:r>
      <w:r>
        <w:rPr>
          <w:rFonts w:hint="eastAsia" w:ascii="仿宋" w:hAnsi="仿宋" w:eastAsia="仿宋" w:cs="仿宋"/>
          <w:sz w:val="32"/>
          <w:szCs w:val="32"/>
        </w:rPr>
        <w:t>、</w:t>
      </w:r>
      <w:r>
        <w:rPr>
          <w:rFonts w:hint="eastAsia" w:ascii="仿宋" w:hAnsi="仿宋" w:eastAsia="仿宋" w:cs="仿宋"/>
          <w:color w:val="333333"/>
          <w:sz w:val="32"/>
          <w:szCs w:val="32"/>
          <w:shd w:val="clear" w:color="auto" w:fill="FFFFFF"/>
        </w:rPr>
        <w:t>社会组织监督管理</w:t>
      </w:r>
      <w:r>
        <w:rPr>
          <w:rFonts w:hint="eastAsia" w:ascii="仿宋" w:hAnsi="仿宋" w:eastAsia="仿宋" w:cs="仿宋"/>
          <w:sz w:val="32"/>
          <w:szCs w:val="32"/>
        </w:rPr>
        <w:t>、低保、福利、慈善、</w:t>
      </w:r>
      <w:r>
        <w:fldChar w:fldCharType="begin"/>
      </w:r>
      <w:r>
        <w:instrText xml:space="preserve"> HYPERLINK "http://baike.sogou.com/lemma/ShowInnerLink.htm?lemmaId=440161&amp;ss_c=ssc.citiao.link" \t "_blank" </w:instrText>
      </w:r>
      <w:r>
        <w:fldChar w:fldCharType="separate"/>
      </w:r>
      <w:r>
        <w:rPr>
          <w:rFonts w:hint="eastAsia" w:ascii="仿宋" w:hAnsi="仿宋" w:eastAsia="仿宋" w:cs="仿宋"/>
          <w:sz w:val="32"/>
          <w:szCs w:val="32"/>
        </w:rPr>
        <w:t>殡葬</w:t>
      </w:r>
      <w:r>
        <w:rPr>
          <w:rFonts w:hint="eastAsia" w:ascii="仿宋" w:hAnsi="仿宋" w:eastAsia="仿宋" w:cs="仿宋"/>
          <w:sz w:val="32"/>
          <w:szCs w:val="32"/>
        </w:rPr>
        <w:fldChar w:fldCharType="end"/>
      </w:r>
      <w:r>
        <w:rPr>
          <w:rFonts w:hint="eastAsia" w:ascii="仿宋" w:hAnsi="仿宋" w:eastAsia="仿宋" w:cs="仿宋"/>
          <w:sz w:val="32"/>
          <w:szCs w:val="32"/>
        </w:rPr>
        <w:t>、</w:t>
      </w:r>
      <w:r>
        <w:rPr>
          <w:rFonts w:hint="eastAsia" w:ascii="仿宋" w:hAnsi="仿宋" w:eastAsia="仿宋" w:cs="仿宋"/>
          <w:color w:val="333333"/>
          <w:sz w:val="32"/>
          <w:szCs w:val="32"/>
          <w:shd w:val="clear" w:color="auto" w:fill="FFFFFF"/>
        </w:rPr>
        <w:t>社会救助</w:t>
      </w:r>
      <w:r>
        <w:rPr>
          <w:rFonts w:hint="eastAsia" w:ascii="仿宋" w:hAnsi="仿宋" w:eastAsia="仿宋" w:cs="仿宋"/>
          <w:sz w:val="32"/>
          <w:szCs w:val="32"/>
        </w:rPr>
        <w:t>等工作。</w:t>
      </w:r>
    </w:p>
    <w:p>
      <w:pPr>
        <w:ind w:firstLine="646"/>
        <w:rPr>
          <w:rFonts w:ascii="仿宋_GB2312" w:eastAsia="仿宋_GB2312"/>
          <w:sz w:val="32"/>
          <w:szCs w:val="32"/>
        </w:rPr>
      </w:pPr>
      <w:r>
        <w:rPr>
          <w:rFonts w:hint="eastAsia" w:ascii="仿宋_GB2312" w:eastAsia="仿宋_GB2312"/>
          <w:sz w:val="32"/>
          <w:szCs w:val="32"/>
        </w:rPr>
        <w:t>二、部门决算单位构成</w:t>
      </w:r>
    </w:p>
    <w:p>
      <w:pPr>
        <w:rPr>
          <w:rFonts w:ascii="仿宋" w:hAnsi="仿宋" w:eastAsia="仿宋" w:cs="仿宋"/>
          <w:sz w:val="32"/>
          <w:szCs w:val="32"/>
        </w:rPr>
      </w:pPr>
      <w:r>
        <w:rPr>
          <w:rFonts w:hint="eastAsia" w:ascii="仿宋" w:hAnsi="仿宋" w:eastAsia="仿宋" w:cs="仿宋"/>
          <w:sz w:val="32"/>
          <w:szCs w:val="32"/>
        </w:rPr>
        <w:t>单位性质：</w:t>
      </w:r>
    </w:p>
    <w:tbl>
      <w:tblPr>
        <w:tblStyle w:val="7"/>
        <w:tblW w:w="9603" w:type="dxa"/>
        <w:tblInd w:w="0" w:type="dxa"/>
        <w:tblLayout w:type="fixed"/>
        <w:tblCellMar>
          <w:top w:w="15" w:type="dxa"/>
          <w:left w:w="15" w:type="dxa"/>
          <w:bottom w:w="15" w:type="dxa"/>
          <w:right w:w="15" w:type="dxa"/>
        </w:tblCellMar>
      </w:tblPr>
      <w:tblGrid>
        <w:gridCol w:w="4410"/>
        <w:gridCol w:w="3924"/>
        <w:gridCol w:w="1269"/>
      </w:tblGrid>
      <w:tr>
        <w:tblPrEx>
          <w:tblLayout w:type="fixed"/>
          <w:tblCellMar>
            <w:top w:w="15" w:type="dxa"/>
            <w:left w:w="15" w:type="dxa"/>
            <w:bottom w:w="15" w:type="dxa"/>
            <w:right w:w="15" w:type="dxa"/>
          </w:tblCellMar>
        </w:tblPrEx>
        <w:trPr>
          <w:gridAfter w:val="1"/>
          <w:wAfter w:w="1269" w:type="dxa"/>
          <w:trHeight w:val="336" w:hRule="atLeast"/>
        </w:trPr>
        <w:tc>
          <w:tcPr>
            <w:tcW w:w="4410"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jc w:val="center"/>
              <w:textAlignment w:val="center"/>
              <w:rPr>
                <w:rFonts w:ascii="仿宋_GB2312" w:hAnsi="仿宋" w:eastAsia="仿宋_GB2312"/>
                <w:sz w:val="24"/>
              </w:rPr>
            </w:pPr>
            <w:r>
              <w:rPr>
                <w:rFonts w:hint="eastAsia" w:ascii="仿宋_GB2312" w:hAnsi="仿宋" w:eastAsia="仿宋_GB2312"/>
                <w:sz w:val="24"/>
              </w:rPr>
              <w:t>单位名称</w:t>
            </w:r>
          </w:p>
        </w:tc>
        <w:tc>
          <w:tcPr>
            <w:tcW w:w="3924"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jc w:val="center"/>
              <w:textAlignment w:val="center"/>
              <w:rPr>
                <w:rFonts w:ascii="仿宋_GB2312" w:hAnsi="仿宋" w:eastAsia="仿宋_GB2312"/>
                <w:sz w:val="24"/>
              </w:rPr>
            </w:pPr>
            <w:r>
              <w:rPr>
                <w:rFonts w:hint="eastAsia" w:ascii="仿宋_GB2312" w:hAnsi="仿宋" w:eastAsia="仿宋_GB2312"/>
                <w:sz w:val="24"/>
              </w:rPr>
              <w:t>单位性质</w:t>
            </w:r>
          </w:p>
        </w:tc>
      </w:tr>
      <w:tr>
        <w:tblPrEx>
          <w:tblLayout w:type="fixed"/>
          <w:tblCellMar>
            <w:top w:w="15" w:type="dxa"/>
            <w:left w:w="15" w:type="dxa"/>
            <w:bottom w:w="15" w:type="dxa"/>
            <w:right w:w="15" w:type="dxa"/>
          </w:tblCellMar>
        </w:tblPrEx>
        <w:trPr>
          <w:gridAfter w:val="1"/>
          <w:wAfter w:w="1269" w:type="dxa"/>
          <w:trHeight w:val="638"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柳州市民政局机关</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行政单位</w:t>
            </w:r>
          </w:p>
        </w:tc>
      </w:tr>
      <w:tr>
        <w:tblPrEx>
          <w:tblLayout w:type="fixed"/>
          <w:tblCellMar>
            <w:top w:w="15" w:type="dxa"/>
            <w:left w:w="15" w:type="dxa"/>
            <w:bottom w:w="15" w:type="dxa"/>
            <w:right w:w="15" w:type="dxa"/>
          </w:tblCellMar>
        </w:tblPrEx>
        <w:trPr>
          <w:gridAfter w:val="1"/>
          <w:wAfter w:w="1269" w:type="dxa"/>
          <w:trHeight w:val="481"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柳州市救助管理站</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参公单位</w:t>
            </w:r>
          </w:p>
        </w:tc>
      </w:tr>
      <w:tr>
        <w:tblPrEx>
          <w:tblLayout w:type="fixed"/>
          <w:tblCellMar>
            <w:top w:w="15" w:type="dxa"/>
            <w:left w:w="15" w:type="dxa"/>
            <w:bottom w:w="15" w:type="dxa"/>
            <w:right w:w="15" w:type="dxa"/>
          </w:tblCellMar>
        </w:tblPrEx>
        <w:trPr>
          <w:gridAfter w:val="1"/>
          <w:wAfter w:w="1269" w:type="dxa"/>
          <w:trHeight w:val="492"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柳州市城乡居民最低生活保障管理办公室</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参公单位</w:t>
            </w:r>
          </w:p>
        </w:tc>
      </w:tr>
      <w:tr>
        <w:tblPrEx>
          <w:tblLayout w:type="fixed"/>
          <w:tblCellMar>
            <w:top w:w="15" w:type="dxa"/>
            <w:left w:w="15" w:type="dxa"/>
            <w:bottom w:w="15" w:type="dxa"/>
            <w:right w:w="15" w:type="dxa"/>
          </w:tblCellMar>
        </w:tblPrEx>
        <w:trPr>
          <w:gridAfter w:val="1"/>
          <w:wAfter w:w="1269" w:type="dxa"/>
          <w:trHeight w:val="474"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柳州市社会福利院</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全额拨款</w:t>
            </w:r>
          </w:p>
        </w:tc>
      </w:tr>
      <w:tr>
        <w:tblPrEx>
          <w:tblLayout w:type="fixed"/>
          <w:tblCellMar>
            <w:top w:w="15" w:type="dxa"/>
            <w:left w:w="15" w:type="dxa"/>
            <w:bottom w:w="15" w:type="dxa"/>
            <w:right w:w="15" w:type="dxa"/>
          </w:tblCellMar>
        </w:tblPrEx>
        <w:trPr>
          <w:gridAfter w:val="1"/>
          <w:wAfter w:w="1269" w:type="dxa"/>
          <w:trHeight w:val="512"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柳州市按摩医院</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全额拨款</w:t>
            </w:r>
          </w:p>
        </w:tc>
      </w:tr>
      <w:tr>
        <w:tblPrEx>
          <w:tblLayout w:type="fixed"/>
          <w:tblCellMar>
            <w:top w:w="15" w:type="dxa"/>
            <w:left w:w="15" w:type="dxa"/>
            <w:bottom w:w="15" w:type="dxa"/>
            <w:right w:w="15" w:type="dxa"/>
          </w:tblCellMar>
        </w:tblPrEx>
        <w:trPr>
          <w:gridAfter w:val="1"/>
          <w:wAfter w:w="1269" w:type="dxa"/>
          <w:trHeight w:val="422"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柳州市儿童福利院</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全额拨款</w:t>
            </w:r>
          </w:p>
        </w:tc>
      </w:tr>
      <w:tr>
        <w:tblPrEx>
          <w:tblLayout w:type="fixed"/>
          <w:tblCellMar>
            <w:top w:w="15" w:type="dxa"/>
            <w:left w:w="15" w:type="dxa"/>
            <w:bottom w:w="15" w:type="dxa"/>
            <w:right w:w="15" w:type="dxa"/>
          </w:tblCellMar>
        </w:tblPrEx>
        <w:trPr>
          <w:gridAfter w:val="1"/>
          <w:wAfter w:w="1269" w:type="dxa"/>
          <w:trHeight w:val="460"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柳州市低收入居民家庭经济状况核对中心</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全额拨款</w:t>
            </w:r>
          </w:p>
        </w:tc>
      </w:tr>
      <w:tr>
        <w:tblPrEx>
          <w:tblLayout w:type="fixed"/>
          <w:tblCellMar>
            <w:top w:w="15" w:type="dxa"/>
            <w:left w:w="15" w:type="dxa"/>
            <w:bottom w:w="15" w:type="dxa"/>
            <w:right w:w="15" w:type="dxa"/>
          </w:tblCellMar>
        </w:tblPrEx>
        <w:trPr>
          <w:gridAfter w:val="1"/>
          <w:wAfter w:w="1269" w:type="dxa"/>
          <w:trHeight w:val="512"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柳州市养老服务促进中心</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全额拨款</w:t>
            </w:r>
          </w:p>
        </w:tc>
      </w:tr>
      <w:tr>
        <w:tblPrEx>
          <w:tblLayout w:type="fixed"/>
          <w:tblCellMar>
            <w:top w:w="15" w:type="dxa"/>
            <w:left w:w="15" w:type="dxa"/>
            <w:bottom w:w="15" w:type="dxa"/>
            <w:right w:w="15" w:type="dxa"/>
          </w:tblCellMar>
        </w:tblPrEx>
        <w:trPr>
          <w:gridAfter w:val="1"/>
          <w:wAfter w:w="1269" w:type="dxa"/>
          <w:trHeight w:val="547"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柳州市社会福利医院</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差额拨款</w:t>
            </w:r>
          </w:p>
        </w:tc>
      </w:tr>
      <w:tr>
        <w:tblPrEx>
          <w:tblLayout w:type="fixed"/>
          <w:tblCellMar>
            <w:top w:w="15" w:type="dxa"/>
            <w:left w:w="15" w:type="dxa"/>
            <w:bottom w:w="15" w:type="dxa"/>
            <w:right w:w="15" w:type="dxa"/>
          </w:tblCellMar>
        </w:tblPrEx>
        <w:trPr>
          <w:gridAfter w:val="1"/>
          <w:wAfter w:w="1269" w:type="dxa"/>
          <w:trHeight w:val="406"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柳州市殡葬管理处</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自收自支</w:t>
            </w:r>
          </w:p>
        </w:tc>
      </w:tr>
      <w:tr>
        <w:tblPrEx>
          <w:tblLayout w:type="fixed"/>
          <w:tblCellMar>
            <w:top w:w="15" w:type="dxa"/>
            <w:left w:w="15" w:type="dxa"/>
            <w:bottom w:w="15" w:type="dxa"/>
            <w:right w:w="15" w:type="dxa"/>
          </w:tblCellMar>
        </w:tblPrEx>
        <w:trPr>
          <w:gridAfter w:val="1"/>
          <w:wAfter w:w="1269" w:type="dxa"/>
          <w:trHeight w:val="505"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柳州市公墓管理处</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自收自支</w:t>
            </w:r>
          </w:p>
        </w:tc>
      </w:tr>
      <w:tr>
        <w:tblPrEx>
          <w:tblLayout w:type="fixed"/>
          <w:tblCellMar>
            <w:top w:w="15" w:type="dxa"/>
            <w:left w:w="15" w:type="dxa"/>
            <w:bottom w:w="15" w:type="dxa"/>
            <w:right w:w="15" w:type="dxa"/>
          </w:tblCellMar>
        </w:tblPrEx>
        <w:trPr>
          <w:trHeight w:val="300" w:hRule="atLeast"/>
        </w:trPr>
        <w:tc>
          <w:tcPr>
            <w:tcW w:w="4410"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柳州市社会福利有奖募捐办公室</w:t>
            </w:r>
          </w:p>
        </w:tc>
        <w:tc>
          <w:tcPr>
            <w:tcW w:w="3924"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仿宋_GB2312" w:hAnsi="仿宋" w:eastAsia="仿宋_GB2312"/>
                <w:sz w:val="24"/>
              </w:rPr>
            </w:pPr>
            <w:r>
              <w:rPr>
                <w:rFonts w:hint="eastAsia" w:ascii="仿宋_GB2312" w:hAnsi="仿宋" w:eastAsia="仿宋_GB2312"/>
                <w:sz w:val="24"/>
              </w:rPr>
              <w:t>自收自支</w:t>
            </w:r>
          </w:p>
        </w:tc>
        <w:tc>
          <w:tcPr>
            <w:tcW w:w="1269" w:type="dxa"/>
            <w:vAlign w:val="center"/>
          </w:tcPr>
          <w:p>
            <w:pPr>
              <w:spacing w:before="31" w:beforeLines="10" w:after="31" w:afterLines="10" w:line="500" w:lineRule="exact"/>
              <w:textAlignment w:val="center"/>
              <w:rPr>
                <w:rFonts w:ascii="仿宋_GB2312" w:hAnsi="仿宋" w:eastAsia="仿宋_GB2312"/>
                <w:sz w:val="32"/>
                <w:szCs w:val="32"/>
              </w:rPr>
            </w:pPr>
          </w:p>
        </w:tc>
      </w:tr>
    </w:tbl>
    <w:p>
      <w:r>
        <w:rPr>
          <w:rFonts w:hint="eastAsia" w:ascii="仿宋" w:hAnsi="仿宋" w:eastAsia="仿宋" w:cs="仿宋"/>
          <w:sz w:val="32"/>
          <w:szCs w:val="32"/>
        </w:rPr>
        <w:t>人员情况：</w:t>
      </w:r>
    </w:p>
    <w:tbl>
      <w:tblPr>
        <w:tblStyle w:val="7"/>
        <w:tblW w:w="8319" w:type="dxa"/>
        <w:tblInd w:w="0" w:type="dxa"/>
        <w:tblLayout w:type="fixed"/>
        <w:tblCellMar>
          <w:top w:w="15" w:type="dxa"/>
          <w:left w:w="15" w:type="dxa"/>
          <w:bottom w:w="15" w:type="dxa"/>
          <w:right w:w="15" w:type="dxa"/>
        </w:tblCellMar>
      </w:tblPr>
      <w:tblGrid>
        <w:gridCol w:w="3504"/>
        <w:gridCol w:w="1245"/>
        <w:gridCol w:w="1305"/>
        <w:gridCol w:w="1035"/>
        <w:gridCol w:w="1230"/>
      </w:tblGrid>
      <w:tr>
        <w:tblPrEx>
          <w:tblLayout w:type="fixed"/>
          <w:tblCellMar>
            <w:top w:w="15" w:type="dxa"/>
            <w:left w:w="15" w:type="dxa"/>
            <w:bottom w:w="15" w:type="dxa"/>
            <w:right w:w="15" w:type="dxa"/>
          </w:tblCellMar>
        </w:tblPrEx>
        <w:trPr>
          <w:trHeight w:val="336" w:hRule="atLeast"/>
        </w:trPr>
        <w:tc>
          <w:tcPr>
            <w:tcW w:w="3504"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ind w:right="296" w:rightChars="141"/>
              <w:jc w:val="center"/>
              <w:textAlignment w:val="center"/>
              <w:rPr>
                <w:rFonts w:ascii="仿宋_GB2312" w:hAnsi="仿宋" w:eastAsia="仿宋_GB2312"/>
                <w:sz w:val="24"/>
              </w:rPr>
            </w:pPr>
            <w:r>
              <w:rPr>
                <w:rFonts w:hint="eastAsia" w:ascii="仿宋_GB2312" w:hAnsi="仿宋" w:eastAsia="仿宋_GB2312"/>
                <w:sz w:val="24"/>
              </w:rPr>
              <w:t>单位名称</w:t>
            </w:r>
          </w:p>
        </w:tc>
        <w:tc>
          <w:tcPr>
            <w:tcW w:w="1245"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ind w:right="296" w:rightChars="141"/>
              <w:jc w:val="center"/>
              <w:textAlignment w:val="center"/>
              <w:rPr>
                <w:rFonts w:ascii="仿宋_GB2312" w:hAnsi="仿宋" w:eastAsia="仿宋_GB2312"/>
                <w:sz w:val="24"/>
              </w:rPr>
            </w:pPr>
            <w:r>
              <w:rPr>
                <w:rFonts w:hint="eastAsia" w:ascii="仿宋_GB2312" w:hAnsi="仿宋" w:eastAsia="仿宋_GB2312"/>
                <w:sz w:val="24"/>
              </w:rPr>
              <w:t>合计</w:t>
            </w:r>
          </w:p>
        </w:tc>
        <w:tc>
          <w:tcPr>
            <w:tcW w:w="1305"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ind w:right="296" w:rightChars="141"/>
              <w:jc w:val="center"/>
              <w:textAlignment w:val="center"/>
              <w:rPr>
                <w:rFonts w:ascii="仿宋_GB2312" w:hAnsi="仿宋" w:eastAsia="仿宋_GB2312"/>
                <w:sz w:val="24"/>
              </w:rPr>
            </w:pPr>
            <w:r>
              <w:rPr>
                <w:rFonts w:hint="eastAsia" w:ascii="仿宋_GB2312" w:hAnsi="仿宋" w:eastAsia="仿宋_GB2312"/>
                <w:sz w:val="24"/>
              </w:rPr>
              <w:t>在职人员</w:t>
            </w:r>
          </w:p>
        </w:tc>
        <w:tc>
          <w:tcPr>
            <w:tcW w:w="1035"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ind w:right="296" w:rightChars="141"/>
              <w:jc w:val="center"/>
              <w:textAlignment w:val="center"/>
              <w:rPr>
                <w:rFonts w:ascii="仿宋_GB2312" w:hAnsi="仿宋" w:eastAsia="仿宋_GB2312"/>
                <w:sz w:val="24"/>
              </w:rPr>
            </w:pPr>
            <w:r>
              <w:rPr>
                <w:rFonts w:hint="eastAsia" w:ascii="仿宋_GB2312" w:hAnsi="仿宋" w:eastAsia="仿宋_GB2312"/>
                <w:sz w:val="24"/>
              </w:rPr>
              <w:t>离休人员</w:t>
            </w:r>
          </w:p>
        </w:tc>
        <w:tc>
          <w:tcPr>
            <w:tcW w:w="1230" w:type="dxa"/>
            <w:tcBorders>
              <w:top w:val="single" w:color="auto" w:sz="4" w:space="0"/>
              <w:left w:val="single" w:color="auto" w:sz="4" w:space="0"/>
              <w:bottom w:val="single" w:color="auto" w:sz="4" w:space="0"/>
              <w:right w:val="single" w:color="auto" w:sz="4" w:space="0"/>
            </w:tcBorders>
            <w:vAlign w:val="center"/>
          </w:tcPr>
          <w:p>
            <w:pPr>
              <w:spacing w:before="31" w:beforeLines="10" w:after="31" w:afterLines="10" w:line="500" w:lineRule="exact"/>
              <w:ind w:right="296" w:rightChars="141"/>
              <w:jc w:val="center"/>
              <w:textAlignment w:val="center"/>
              <w:rPr>
                <w:rFonts w:ascii="仿宋_GB2312" w:hAnsi="仿宋" w:eastAsia="仿宋_GB2312"/>
                <w:sz w:val="24"/>
              </w:rPr>
            </w:pPr>
            <w:r>
              <w:rPr>
                <w:rFonts w:hint="eastAsia" w:ascii="仿宋_GB2312" w:hAnsi="仿宋" w:eastAsia="仿宋_GB2312"/>
                <w:sz w:val="24"/>
              </w:rPr>
              <w:t>退休人员</w:t>
            </w:r>
          </w:p>
        </w:tc>
      </w:tr>
      <w:tr>
        <w:tblPrEx>
          <w:tblLayout w:type="fixed"/>
          <w:tblCellMar>
            <w:top w:w="15" w:type="dxa"/>
            <w:left w:w="15" w:type="dxa"/>
            <w:bottom w:w="15" w:type="dxa"/>
            <w:right w:w="15" w:type="dxa"/>
          </w:tblCellMar>
        </w:tblPrEx>
        <w:trPr>
          <w:trHeight w:val="90"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960" w:firstLineChars="400"/>
              <w:textAlignment w:val="center"/>
              <w:rPr>
                <w:rFonts w:ascii="仿宋_GB2312" w:hAnsi="仿宋" w:eastAsia="仿宋_GB2312"/>
                <w:sz w:val="24"/>
              </w:rPr>
            </w:pPr>
            <w:r>
              <w:rPr>
                <w:rFonts w:hint="eastAsia" w:ascii="仿宋_GB2312" w:hAnsi="仿宋" w:eastAsia="仿宋_GB2312"/>
                <w:sz w:val="24"/>
              </w:rPr>
              <w:t>合 计</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610</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359</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w:t>
            </w: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248</w:t>
            </w:r>
          </w:p>
        </w:tc>
      </w:tr>
      <w:tr>
        <w:tblPrEx>
          <w:tblLayout w:type="fixed"/>
          <w:tblCellMar>
            <w:top w:w="15" w:type="dxa"/>
            <w:left w:w="15" w:type="dxa"/>
            <w:bottom w:w="15" w:type="dxa"/>
            <w:right w:w="15" w:type="dxa"/>
          </w:tblCellMar>
        </w:tblPrEx>
        <w:trPr>
          <w:trHeight w:val="638"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柳州市民政局机关</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73</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38</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2</w:t>
            </w: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33</w:t>
            </w:r>
          </w:p>
        </w:tc>
      </w:tr>
      <w:tr>
        <w:tblPrEx>
          <w:tblLayout w:type="fixed"/>
          <w:tblCellMar>
            <w:top w:w="15" w:type="dxa"/>
            <w:left w:w="15" w:type="dxa"/>
            <w:bottom w:w="15" w:type="dxa"/>
            <w:right w:w="15" w:type="dxa"/>
          </w:tblCellMar>
        </w:tblPrEx>
        <w:trPr>
          <w:trHeight w:val="481"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柳州市救助管理站</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74</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36</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w:t>
            </w: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37</w:t>
            </w:r>
          </w:p>
        </w:tc>
      </w:tr>
      <w:tr>
        <w:tblPrEx>
          <w:tblLayout w:type="fixed"/>
          <w:tblCellMar>
            <w:top w:w="15" w:type="dxa"/>
            <w:left w:w="15" w:type="dxa"/>
            <w:bottom w:w="15" w:type="dxa"/>
            <w:right w:w="15" w:type="dxa"/>
          </w:tblCellMar>
        </w:tblPrEx>
        <w:trPr>
          <w:trHeight w:val="249"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柳州市社会福利院</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112</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62</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50</w:t>
            </w:r>
          </w:p>
        </w:tc>
      </w:tr>
      <w:tr>
        <w:tblPrEx>
          <w:tblLayout w:type="fixed"/>
          <w:tblCellMar>
            <w:top w:w="15" w:type="dxa"/>
            <w:left w:w="15" w:type="dxa"/>
            <w:bottom w:w="15" w:type="dxa"/>
            <w:right w:w="15" w:type="dxa"/>
          </w:tblCellMar>
        </w:tblPrEx>
        <w:trPr>
          <w:trHeight w:val="474"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柳州市社会福利医院</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52</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52</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45</w:t>
            </w:r>
          </w:p>
        </w:tc>
      </w:tr>
      <w:tr>
        <w:tblPrEx>
          <w:tblLayout w:type="fixed"/>
          <w:tblCellMar>
            <w:top w:w="15" w:type="dxa"/>
            <w:left w:w="15" w:type="dxa"/>
            <w:bottom w:w="15" w:type="dxa"/>
            <w:right w:w="15" w:type="dxa"/>
          </w:tblCellMar>
        </w:tblPrEx>
        <w:trPr>
          <w:trHeight w:val="512"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柳州市殡葬管理处</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68</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36</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32</w:t>
            </w:r>
          </w:p>
        </w:tc>
      </w:tr>
      <w:tr>
        <w:tblPrEx>
          <w:tblLayout w:type="fixed"/>
          <w:tblCellMar>
            <w:top w:w="15" w:type="dxa"/>
            <w:left w:w="15" w:type="dxa"/>
            <w:bottom w:w="15" w:type="dxa"/>
            <w:right w:w="15" w:type="dxa"/>
          </w:tblCellMar>
        </w:tblPrEx>
        <w:trPr>
          <w:trHeight w:val="422"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柳州市儿童福利院</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78</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60</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18</w:t>
            </w:r>
          </w:p>
        </w:tc>
      </w:tr>
      <w:tr>
        <w:tblPrEx>
          <w:tblLayout w:type="fixed"/>
          <w:tblCellMar>
            <w:top w:w="15" w:type="dxa"/>
            <w:left w:w="15" w:type="dxa"/>
            <w:bottom w:w="15" w:type="dxa"/>
            <w:right w:w="15" w:type="dxa"/>
          </w:tblCellMar>
        </w:tblPrEx>
        <w:trPr>
          <w:trHeight w:val="460"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柳州市养老服务促进中心</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5</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5</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0</w:t>
            </w:r>
          </w:p>
        </w:tc>
      </w:tr>
      <w:tr>
        <w:tblPrEx>
          <w:tblLayout w:type="fixed"/>
          <w:tblCellMar>
            <w:top w:w="15" w:type="dxa"/>
            <w:left w:w="15" w:type="dxa"/>
            <w:bottom w:w="15" w:type="dxa"/>
            <w:right w:w="15" w:type="dxa"/>
          </w:tblCellMar>
        </w:tblPrEx>
        <w:trPr>
          <w:trHeight w:val="512"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柳州市城乡居民最低生活保障管理办公室</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15</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9</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6</w:t>
            </w:r>
          </w:p>
        </w:tc>
      </w:tr>
      <w:tr>
        <w:tblPrEx>
          <w:tblLayout w:type="fixed"/>
          <w:tblCellMar>
            <w:top w:w="15" w:type="dxa"/>
            <w:left w:w="15" w:type="dxa"/>
            <w:bottom w:w="15" w:type="dxa"/>
            <w:right w:w="15" w:type="dxa"/>
          </w:tblCellMar>
        </w:tblPrEx>
        <w:trPr>
          <w:trHeight w:val="408"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柳州市社会福利有奖募捐办公室</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11</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7</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4</w:t>
            </w:r>
          </w:p>
        </w:tc>
      </w:tr>
      <w:tr>
        <w:tblPrEx>
          <w:tblLayout w:type="fixed"/>
          <w:tblCellMar>
            <w:top w:w="15" w:type="dxa"/>
            <w:left w:w="15" w:type="dxa"/>
            <w:bottom w:w="15" w:type="dxa"/>
            <w:right w:w="15" w:type="dxa"/>
          </w:tblCellMar>
        </w:tblPrEx>
        <w:trPr>
          <w:trHeight w:val="461"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柳州市公墓管理处</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33</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25</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8</w:t>
            </w:r>
          </w:p>
        </w:tc>
      </w:tr>
      <w:tr>
        <w:tblPrEx>
          <w:tblLayout w:type="fixed"/>
          <w:tblCellMar>
            <w:top w:w="15" w:type="dxa"/>
            <w:left w:w="15" w:type="dxa"/>
            <w:bottom w:w="15" w:type="dxa"/>
            <w:right w:w="15" w:type="dxa"/>
          </w:tblCellMar>
        </w:tblPrEx>
        <w:trPr>
          <w:trHeight w:val="498"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柳州市低收入居民家庭经济状况核对中心</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12</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12</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0</w:t>
            </w:r>
          </w:p>
        </w:tc>
      </w:tr>
      <w:tr>
        <w:tblPrEx>
          <w:tblLayout w:type="fixed"/>
          <w:tblCellMar>
            <w:top w:w="15" w:type="dxa"/>
            <w:left w:w="15" w:type="dxa"/>
            <w:bottom w:w="15" w:type="dxa"/>
            <w:right w:w="15" w:type="dxa"/>
          </w:tblCellMar>
        </w:tblPrEx>
        <w:trPr>
          <w:trHeight w:val="536" w:hRule="atLeast"/>
        </w:trPr>
        <w:tc>
          <w:tcPr>
            <w:tcW w:w="3504" w:type="dxa"/>
            <w:tcBorders>
              <w:top w:val="single" w:color="auto" w:sz="4" w:space="0"/>
              <w:left w:val="single" w:color="auto" w:sz="4" w:space="0"/>
              <w:bottom w:val="single" w:color="auto" w:sz="4" w:space="0"/>
              <w:right w:val="single" w:color="auto" w:sz="4" w:space="0"/>
            </w:tcBorders>
            <w:vAlign w:val="center"/>
          </w:tcPr>
          <w:p>
            <w:pPr>
              <w:widowControl/>
              <w:ind w:right="296" w:rightChars="141"/>
              <w:textAlignment w:val="center"/>
              <w:rPr>
                <w:rFonts w:ascii="仿宋_GB2312" w:hAnsi="仿宋" w:eastAsia="仿宋_GB2312"/>
                <w:sz w:val="24"/>
              </w:rPr>
            </w:pPr>
            <w:r>
              <w:rPr>
                <w:rFonts w:hint="eastAsia" w:ascii="仿宋_GB2312" w:hAnsi="仿宋" w:eastAsia="仿宋_GB2312"/>
                <w:sz w:val="24"/>
              </w:rPr>
              <w:t xml:space="preserve">    柳州市按摩医院</w:t>
            </w:r>
          </w:p>
        </w:tc>
        <w:tc>
          <w:tcPr>
            <w:tcW w:w="124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32</w:t>
            </w:r>
          </w:p>
        </w:tc>
        <w:tc>
          <w:tcPr>
            <w:tcW w:w="130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17</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widowControl/>
              <w:ind w:right="296" w:rightChars="141" w:firstLine="480" w:firstLineChars="200"/>
              <w:textAlignment w:val="center"/>
              <w:rPr>
                <w:rFonts w:ascii="仿宋_GB2312" w:hAnsi="仿宋" w:eastAsia="仿宋_GB2312"/>
                <w:sz w:val="24"/>
              </w:rPr>
            </w:pPr>
            <w:r>
              <w:rPr>
                <w:rFonts w:hint="eastAsia" w:ascii="仿宋_GB2312" w:hAnsi="仿宋" w:eastAsia="仿宋_GB2312"/>
                <w:sz w:val="24"/>
              </w:rPr>
              <w:t>15</w:t>
            </w:r>
          </w:p>
        </w:tc>
      </w:tr>
    </w:tbl>
    <w:p>
      <w:pPr>
        <w:jc w:val="center"/>
      </w:pPr>
    </w:p>
    <w:p/>
    <w:p>
      <w:pPr>
        <w:rPr>
          <w:rFonts w:ascii="仿宋_GB2312" w:eastAsia="仿宋_GB2312"/>
          <w:b/>
          <w:sz w:val="32"/>
          <w:szCs w:val="32"/>
        </w:rPr>
      </w:pPr>
      <w:r>
        <w:rPr>
          <w:rFonts w:hint="eastAsia" w:ascii="仿宋_GB2312" w:eastAsia="仿宋_GB2312"/>
          <w:b/>
          <w:sz w:val="32"/>
          <w:szCs w:val="32"/>
        </w:rPr>
        <w:t>第二部分：</w:t>
      </w:r>
      <w:r>
        <w:rPr>
          <w:rFonts w:hint="eastAsia" w:ascii="仿宋_GB2312" w:hAnsi="黑体" w:eastAsia="仿宋_GB2312"/>
          <w:b/>
          <w:bCs/>
          <w:color w:val="000000"/>
          <w:sz w:val="32"/>
          <w:szCs w:val="32"/>
        </w:rPr>
        <w:t>柳州市民政局</w:t>
      </w:r>
      <w:r>
        <w:rPr>
          <w:rFonts w:hint="eastAsia" w:ascii="仿宋_GB2312" w:eastAsia="仿宋_GB2312"/>
          <w:b/>
          <w:sz w:val="32"/>
          <w:szCs w:val="32"/>
        </w:rPr>
        <w:t>2020年部门决算报表</w:t>
      </w:r>
    </w:p>
    <w:p>
      <w:pPr>
        <w:ind w:firstLine="640" w:firstLineChars="200"/>
        <w:rPr>
          <w:rFonts w:ascii="仿宋_GB2312" w:hAnsi="黑体" w:eastAsia="仿宋_GB2312"/>
          <w:sz w:val="32"/>
          <w:szCs w:val="32"/>
        </w:rPr>
      </w:pPr>
      <w:r>
        <w:rPr>
          <w:rFonts w:hint="eastAsia" w:ascii="仿宋_GB2312" w:hAnsi="黑体" w:eastAsia="仿宋_GB2312"/>
          <w:sz w:val="32"/>
          <w:szCs w:val="32"/>
        </w:rPr>
        <w:t>《收入决算表》、《支出决算表》、《一般公共预算财政拨款支出决算表》和《政府性基金预算财政拨款收入支出决算表》应当细化公开到支出功能分类项级科目，《一般公共预算财政拨款基本支出决算表》应当细化公开到经济分类款级科目。</w:t>
      </w:r>
    </w:p>
    <w:p>
      <w:pPr>
        <w:rPr>
          <w:rFonts w:ascii="仿宋_GB2312" w:hAnsi="黑体" w:eastAsia="仿宋_GB2312"/>
          <w:sz w:val="32"/>
          <w:szCs w:val="32"/>
        </w:rPr>
      </w:pPr>
      <w:r>
        <w:rPr>
          <w:rFonts w:hint="eastAsia" w:ascii="仿宋_GB2312" w:hAnsi="黑体" w:eastAsia="仿宋_GB2312"/>
          <w:sz w:val="32"/>
          <w:szCs w:val="32"/>
        </w:rPr>
        <w:t>（详见附件）</w:t>
      </w:r>
    </w:p>
    <w:p/>
    <w:p>
      <w:pPr>
        <w:spacing w:line="580" w:lineRule="exact"/>
        <w:rPr>
          <w:rFonts w:ascii="仿宋_GB2312" w:eastAsia="仿宋_GB2312"/>
          <w:b/>
          <w:sz w:val="32"/>
          <w:szCs w:val="32"/>
        </w:rPr>
      </w:pPr>
      <w:r>
        <w:rPr>
          <w:rFonts w:hint="eastAsia" w:ascii="仿宋_GB2312" w:eastAsia="仿宋_GB2312"/>
          <w:b/>
          <w:sz w:val="32"/>
          <w:szCs w:val="32"/>
        </w:rPr>
        <w:t>第三部分：</w:t>
      </w:r>
      <w:r>
        <w:rPr>
          <w:rFonts w:hint="eastAsia" w:ascii="仿宋_GB2312" w:hAnsi="黑体" w:eastAsia="仿宋_GB2312"/>
          <w:b/>
          <w:bCs/>
          <w:color w:val="000000"/>
          <w:sz w:val="32"/>
          <w:szCs w:val="32"/>
        </w:rPr>
        <w:t>柳州市民政局</w:t>
      </w:r>
      <w:r>
        <w:rPr>
          <w:rFonts w:hint="eastAsia" w:ascii="仿宋_GB2312" w:eastAsia="仿宋_GB2312"/>
          <w:b/>
          <w:sz w:val="32"/>
          <w:szCs w:val="32"/>
        </w:rPr>
        <w:t>2020年度部门决算情况说明</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一、</w:t>
      </w:r>
      <w:r>
        <w:rPr>
          <w:rFonts w:hint="eastAsia" w:eastAsia="仿宋_GB2312"/>
          <w:b/>
          <w:kern w:val="0"/>
          <w:sz w:val="32"/>
          <w:szCs w:val="32"/>
        </w:rPr>
        <w:t>2020</w:t>
      </w:r>
      <w:r>
        <w:rPr>
          <w:rFonts w:hint="eastAsia" w:ascii="仿宋_GB2312" w:eastAsia="仿宋_GB2312" w:cs="仿宋_GB2312"/>
          <w:b/>
          <w:kern w:val="0"/>
          <w:sz w:val="32"/>
          <w:szCs w:val="32"/>
        </w:rPr>
        <w:t>年度收入支出决算总体情况</w:t>
      </w:r>
    </w:p>
    <w:p>
      <w:pPr>
        <w:autoSpaceDE w:val="0"/>
        <w:autoSpaceDN w:val="0"/>
        <w:adjustRightInd w:val="0"/>
        <w:spacing w:line="580" w:lineRule="exact"/>
        <w:ind w:firstLine="643" w:firstLineChars="200"/>
        <w:jc w:val="left"/>
        <w:rPr>
          <w:rFonts w:ascii="仿宋_GB2312" w:eastAsia="仿宋_GB2312" w:cs="仿宋_GB2312"/>
          <w:bCs/>
          <w:kern w:val="0"/>
          <w:sz w:val="32"/>
          <w:szCs w:val="32"/>
        </w:rPr>
      </w:pPr>
      <w:r>
        <w:rPr>
          <w:rFonts w:hint="eastAsia" w:ascii="仿宋_GB2312" w:eastAsia="仿宋_GB2312" w:cs="仿宋_GB2312"/>
          <w:b/>
          <w:kern w:val="0"/>
          <w:sz w:val="32"/>
          <w:szCs w:val="32"/>
        </w:rPr>
        <w:t xml:space="preserve"> </w:t>
      </w:r>
      <w:r>
        <w:rPr>
          <w:rFonts w:hint="eastAsia" w:ascii="仿宋_GB2312" w:hAnsi="仿宋" w:eastAsia="仿宋_GB2312"/>
          <w:sz w:val="32"/>
          <w:szCs w:val="32"/>
        </w:rPr>
        <w:t>2020年度收入总计27,886.18万元，支出总计27,886.18万元，与2019年相比，收、支减少14,815.09万元，减少35%。</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二、</w:t>
      </w:r>
      <w:r>
        <w:rPr>
          <w:rFonts w:hint="eastAsia" w:eastAsia="仿宋_GB2312"/>
          <w:b/>
          <w:kern w:val="0"/>
          <w:sz w:val="32"/>
          <w:szCs w:val="32"/>
        </w:rPr>
        <w:t>2020</w:t>
      </w:r>
      <w:r>
        <w:rPr>
          <w:rFonts w:hint="eastAsia" w:ascii="仿宋_GB2312" w:eastAsia="仿宋_GB2312" w:cs="仿宋_GB2312"/>
          <w:b/>
          <w:kern w:val="0"/>
          <w:sz w:val="32"/>
          <w:szCs w:val="32"/>
        </w:rPr>
        <w:t>年度收入决算情况</w:t>
      </w:r>
    </w:p>
    <w:p>
      <w:pPr>
        <w:autoSpaceDE w:val="0"/>
        <w:autoSpaceDN w:val="0"/>
        <w:adjustRightInd w:val="0"/>
        <w:spacing w:line="560" w:lineRule="exact"/>
        <w:ind w:firstLine="640" w:firstLineChars="200"/>
        <w:jc w:val="left"/>
        <w:rPr>
          <w:rFonts w:ascii="仿宋_GB2312" w:eastAsia="仿宋_GB2312" w:cs="仿宋_GB2312"/>
          <w:b/>
          <w:kern w:val="0"/>
          <w:sz w:val="32"/>
          <w:szCs w:val="32"/>
        </w:rPr>
      </w:pPr>
      <w:r>
        <w:rPr>
          <w:rFonts w:hint="eastAsia" w:ascii="仿宋_GB2312" w:eastAsia="仿宋_GB2312" w:cs="仿宋_GB2312"/>
          <w:bCs/>
          <w:kern w:val="0"/>
          <w:sz w:val="32"/>
          <w:szCs w:val="32"/>
        </w:rPr>
        <w:t>本年收入总计22,439.66万元 ，其中：一般公共预算财政拨款收入</w:t>
      </w:r>
      <w:r>
        <w:rPr>
          <w:rFonts w:hint="eastAsia" w:ascii="仿宋_GB2312" w:eastAsia="仿宋_GB2312"/>
          <w:sz w:val="32"/>
          <w:szCs w:val="32"/>
        </w:rPr>
        <w:t>18,024.34万元</w:t>
      </w:r>
      <w:r>
        <w:rPr>
          <w:rFonts w:hint="eastAsia" w:ascii="仿宋_GB2312" w:eastAsia="仿宋_GB2312" w:cs="仿宋_GB2312"/>
          <w:bCs/>
          <w:kern w:val="0"/>
          <w:sz w:val="32"/>
          <w:szCs w:val="32"/>
        </w:rPr>
        <w:t>万元；占比80%；政府基金预算财政拨款收入</w:t>
      </w:r>
      <w:r>
        <w:rPr>
          <w:rFonts w:hint="eastAsia" w:ascii="仿宋_GB2312" w:eastAsia="仿宋_GB2312"/>
          <w:sz w:val="32"/>
          <w:szCs w:val="32"/>
        </w:rPr>
        <w:t>1,668.55</w:t>
      </w:r>
      <w:r>
        <w:rPr>
          <w:rFonts w:hint="eastAsia" w:ascii="仿宋_GB2312" w:eastAsia="仿宋_GB2312" w:cs="仿宋_GB2312"/>
          <w:bCs/>
          <w:kern w:val="0"/>
          <w:sz w:val="32"/>
          <w:szCs w:val="32"/>
        </w:rPr>
        <w:t>万元；占比7%；上级补助收入</w:t>
      </w:r>
      <w:r>
        <w:rPr>
          <w:rFonts w:hint="eastAsia" w:ascii="仿宋_GB2312" w:eastAsia="仿宋_GB2312"/>
          <w:sz w:val="32"/>
          <w:szCs w:val="32"/>
        </w:rPr>
        <w:t>5.04</w:t>
      </w:r>
      <w:r>
        <w:rPr>
          <w:rFonts w:hint="eastAsia" w:ascii="仿宋_GB2312" w:eastAsia="仿宋_GB2312" w:cs="仿宋_GB2312"/>
          <w:bCs/>
          <w:kern w:val="0"/>
          <w:sz w:val="32"/>
          <w:szCs w:val="32"/>
        </w:rPr>
        <w:t>万元，占比1%；事业收入1,948.34万元，占比9%；其他收入571.39万元，占比3%。</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三、</w:t>
      </w:r>
      <w:r>
        <w:rPr>
          <w:rFonts w:hint="eastAsia" w:eastAsia="仿宋_GB2312"/>
          <w:b/>
          <w:kern w:val="0"/>
          <w:sz w:val="32"/>
          <w:szCs w:val="32"/>
        </w:rPr>
        <w:t>2020</w:t>
      </w:r>
      <w:r>
        <w:rPr>
          <w:rFonts w:hint="eastAsia" w:ascii="仿宋_GB2312" w:eastAsia="仿宋_GB2312" w:cs="仿宋_GB2312"/>
          <w:b/>
          <w:kern w:val="0"/>
          <w:sz w:val="32"/>
          <w:szCs w:val="32"/>
        </w:rPr>
        <w:t>年度支出决算情况</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本年支出合计22,073.64万元，其中：基本支出</w:t>
      </w:r>
      <w:r>
        <w:rPr>
          <w:rFonts w:hint="eastAsia" w:ascii="仿宋_GB2312" w:eastAsia="仿宋_GB2312"/>
          <w:sz w:val="32"/>
          <w:szCs w:val="32"/>
        </w:rPr>
        <w:t>9,130.10</w:t>
      </w:r>
      <w:r>
        <w:rPr>
          <w:rFonts w:hint="eastAsia" w:ascii="仿宋_GB2312" w:eastAsia="仿宋_GB2312" w:cs="仿宋_GB2312"/>
          <w:bCs/>
          <w:kern w:val="0"/>
          <w:sz w:val="32"/>
          <w:szCs w:val="32"/>
        </w:rPr>
        <w:t>万元，占41%；项目支出</w:t>
      </w:r>
      <w:r>
        <w:rPr>
          <w:rFonts w:hint="eastAsia" w:ascii="仿宋_GB2312" w:eastAsia="仿宋_GB2312"/>
          <w:sz w:val="32"/>
          <w:szCs w:val="32"/>
        </w:rPr>
        <w:t>12,943.55</w:t>
      </w:r>
      <w:r>
        <w:rPr>
          <w:rFonts w:hint="eastAsia" w:ascii="仿宋_GB2312" w:eastAsia="仿宋_GB2312" w:cs="仿宋_GB2312"/>
          <w:bCs/>
          <w:kern w:val="0"/>
          <w:sz w:val="32"/>
          <w:szCs w:val="32"/>
        </w:rPr>
        <w:t>万元，占59%；经营支出</w:t>
      </w:r>
      <w:r>
        <w:rPr>
          <w:rFonts w:hint="eastAsia" w:ascii="仿宋_GB2312" w:eastAsia="仿宋_GB2312"/>
          <w:sz w:val="32"/>
          <w:szCs w:val="32"/>
        </w:rPr>
        <w:t>0</w:t>
      </w:r>
      <w:r>
        <w:rPr>
          <w:rFonts w:hint="eastAsia" w:ascii="仿宋_GB2312" w:eastAsia="仿宋_GB2312" w:cs="仿宋_GB2312"/>
          <w:bCs/>
          <w:kern w:val="0"/>
          <w:sz w:val="32"/>
          <w:szCs w:val="32"/>
        </w:rPr>
        <w:t>万元；</w:t>
      </w:r>
      <w:r>
        <w:rPr>
          <w:rFonts w:hint="eastAsia" w:ascii="仿宋_GB2312" w:eastAsia="仿宋_GB2312"/>
          <w:sz w:val="32"/>
          <w:szCs w:val="32"/>
        </w:rPr>
        <w:t>对附属单位补助支出0万元。</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四、</w:t>
      </w:r>
      <w:r>
        <w:rPr>
          <w:rFonts w:hint="eastAsia" w:eastAsia="仿宋_GB2312"/>
          <w:b/>
          <w:kern w:val="0"/>
          <w:sz w:val="32"/>
          <w:szCs w:val="32"/>
        </w:rPr>
        <w:t>2020</w:t>
      </w:r>
      <w:r>
        <w:rPr>
          <w:rFonts w:hint="eastAsia" w:ascii="仿宋_GB2312" w:eastAsia="仿宋_GB2312" w:cs="仿宋_GB2312"/>
          <w:b/>
          <w:kern w:val="0"/>
          <w:sz w:val="32"/>
          <w:szCs w:val="32"/>
        </w:rPr>
        <w:t>年度财政拨款收入支出决算情况</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本部门 2020年度财政拨款收、支总决算19,692.88万元、19,964.22万元。与 2019 年相比，财政拨款收入总计减少9,556.77万元，减少33%，支出总计减少8053.59万元，减少29%。</w:t>
      </w:r>
    </w:p>
    <w:p>
      <w:pPr>
        <w:autoSpaceDE w:val="0"/>
        <w:autoSpaceDN w:val="0"/>
        <w:adjustRightInd w:val="0"/>
        <w:spacing w:line="580" w:lineRule="exact"/>
        <w:ind w:firstLine="643" w:firstLineChars="200"/>
        <w:jc w:val="left"/>
        <w:rPr>
          <w:rFonts w:eastAsia="仿宋_GB2312"/>
          <w:b/>
          <w:kern w:val="0"/>
          <w:sz w:val="32"/>
          <w:szCs w:val="32"/>
        </w:rPr>
      </w:pPr>
      <w:r>
        <w:rPr>
          <w:rFonts w:hint="eastAsia" w:ascii="仿宋_GB2312" w:eastAsia="仿宋_GB2312" w:cs="仿宋_GB2312"/>
          <w:b/>
          <w:kern w:val="0"/>
          <w:sz w:val="32"/>
          <w:szCs w:val="32"/>
        </w:rPr>
        <w:t>五、</w:t>
      </w:r>
      <w:r>
        <w:rPr>
          <w:rFonts w:hint="eastAsia" w:eastAsia="仿宋_GB2312"/>
          <w:b/>
          <w:kern w:val="0"/>
          <w:sz w:val="32"/>
          <w:szCs w:val="32"/>
        </w:rPr>
        <w:t>2020年度一般公共预算财政拨款支出决算情况</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（一）财政拨款支出决算情况。 </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部门 2020年度财政拨款支出19,964.22万元，占本年支出合计的90%。与 2019 年相比，财政拨款支出减少8,053.59 万元，下降29%。</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（二）财政拨款支出决算结构情况（根据公开表格作表述）</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2020 年度财政拨款支出19,964.22万元，主要用于以下方面：社会保障和就业（类）支出15,060.56万元，占75%；卫生健康（类）支出875.68万元，占 4%； 城乡社区（类）支出24.3万元，占1%；住房保障（类）支出390.86万元，占 2%；粮油物资储备（类）支出1,920.30万元，占10%；其他（类）支出1,692.52万元，占8%。</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（三）财政拨款支出决算具体情况</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2020 年度财政拨款支出年初预算为14,691.86万元，支出决算为22,073.65万元，完成年初预算的150%。决算数大于预算数的主要原因：一是年中追加安排财政拨款支出预算，涉及项目有福彩公益金项目、2020年市本级预算内基本建设投资；二是部分支出按规定，通过使用以前年度财政拨款结转资金解决。其中： </w:t>
      </w:r>
    </w:p>
    <w:p>
      <w:pPr>
        <w:spacing w:line="540" w:lineRule="exact"/>
        <w:ind w:firstLine="435"/>
        <w:rPr>
          <w:rFonts w:ascii="仿宋_GB2312" w:eastAsia="仿宋_GB2312" w:cs="仿宋_GB2312"/>
          <w:bCs/>
          <w:kern w:val="0"/>
          <w:sz w:val="32"/>
          <w:szCs w:val="32"/>
        </w:rPr>
      </w:pPr>
      <w:r>
        <w:rPr>
          <w:rFonts w:hint="eastAsia" w:ascii="仿宋_GB2312" w:eastAsia="仿宋_GB2312" w:cs="仿宋_GB2312"/>
          <w:bCs/>
          <w:kern w:val="0"/>
          <w:sz w:val="32"/>
          <w:szCs w:val="32"/>
        </w:rPr>
        <w:t>1.社会保障和就业支出（类）民政管理事务（款）行政运行（项）。 年初预算为1,093.14万元，支出决算为1,355.96万元，完成年初预算的124%。决算数大于预算数的主要原因是：财政拨付增资调资款、通讯补贴以及物业补贴等。</w:t>
      </w:r>
    </w:p>
    <w:p>
      <w:pPr>
        <w:spacing w:line="540" w:lineRule="exact"/>
        <w:ind w:firstLine="435"/>
        <w:rPr>
          <w:rFonts w:ascii="仿宋_GB2312" w:eastAsia="仿宋_GB2312" w:cs="仿宋_GB2312"/>
          <w:bCs/>
          <w:kern w:val="0"/>
          <w:sz w:val="32"/>
          <w:szCs w:val="32"/>
        </w:rPr>
      </w:pPr>
      <w:r>
        <w:rPr>
          <w:rFonts w:hint="eastAsia" w:ascii="仿宋_GB2312" w:eastAsia="仿宋_GB2312" w:cs="仿宋_GB2312"/>
          <w:bCs/>
          <w:kern w:val="0"/>
          <w:sz w:val="32"/>
          <w:szCs w:val="32"/>
        </w:rPr>
        <w:t>2. 社会保障和就业支出（类）民政管理事务（款）一般行政管理事务（项）。年初预算为207.09万元，支出决算为137.71万元，完成年初预算的66%。决算数小于预算数的主要原因是培训费压减，导致原计划村（居）委会干部培训、社工人才培训无法在计划地点开展，只能改变培训地点、缩短培训时间，压减经费，导致经费略有剩余。</w:t>
      </w:r>
    </w:p>
    <w:p>
      <w:pPr>
        <w:spacing w:line="560" w:lineRule="exact"/>
        <w:ind w:firstLine="640" w:firstLineChars="200"/>
        <w:rPr>
          <w:rFonts w:ascii="仿宋_GB2312" w:eastAsia="仿宋_GB2312"/>
          <w:sz w:val="28"/>
          <w:szCs w:val="28"/>
        </w:rPr>
      </w:pPr>
      <w:r>
        <w:rPr>
          <w:rFonts w:hint="eastAsia" w:ascii="仿宋_GB2312" w:eastAsia="仿宋_GB2312" w:cs="仿宋_GB2312"/>
          <w:bCs/>
          <w:kern w:val="0"/>
          <w:sz w:val="32"/>
          <w:szCs w:val="32"/>
        </w:rPr>
        <w:t>3. 社会保障和就业支出（类）民政管理事务（款）社会组织管理（项）。年初预算为</w:t>
      </w:r>
      <w:r>
        <w:rPr>
          <w:rFonts w:hint="eastAsia" w:ascii="仿宋_GB2312" w:hAnsi="华文仿宋" w:eastAsia="仿宋_GB2312"/>
          <w:bCs/>
          <w:sz w:val="32"/>
          <w:szCs w:val="32"/>
        </w:rPr>
        <w:t>25.84</w:t>
      </w:r>
      <w:r>
        <w:rPr>
          <w:rFonts w:hint="eastAsia" w:ascii="仿宋_GB2312" w:eastAsia="仿宋_GB2312" w:cs="仿宋_GB2312"/>
          <w:bCs/>
          <w:kern w:val="0"/>
          <w:sz w:val="32"/>
          <w:szCs w:val="32"/>
        </w:rPr>
        <w:t>万元，支出决算为25.84万元，完成年初预算的100%。</w:t>
      </w:r>
    </w:p>
    <w:p>
      <w:pPr>
        <w:spacing w:line="560" w:lineRule="exact"/>
        <w:ind w:firstLine="640" w:firstLineChars="200"/>
        <w:rPr>
          <w:rFonts w:ascii="仿宋_GB2312" w:eastAsia="仿宋_GB2312" w:cs="仿宋_GB2312"/>
          <w:bCs/>
          <w:kern w:val="0"/>
          <w:sz w:val="32"/>
          <w:szCs w:val="32"/>
        </w:rPr>
      </w:pPr>
      <w:r>
        <w:rPr>
          <w:rFonts w:hint="eastAsia" w:ascii="仿宋_GB2312" w:eastAsia="仿宋_GB2312" w:cs="仿宋_GB2312"/>
          <w:bCs/>
          <w:kern w:val="0"/>
          <w:sz w:val="32"/>
          <w:szCs w:val="32"/>
        </w:rPr>
        <w:t>4. 社会保障和就业支出（类）民政管理事务（款）行政区划和地名管理（项）。年初预算为62万元，支出决算为136.44万元，完成年初预算的178%。决算数大于预算数的主要原因是动用上年结转结余开展地名标志牌政府采购项目；根据柳财预〔2020〕605号，9月份下达关于下达2020年市人大代表建议和政协委员提案专项资金13万，用于地名故事编制印刷服务。</w:t>
      </w:r>
    </w:p>
    <w:p>
      <w:pPr>
        <w:spacing w:line="560" w:lineRule="exact"/>
        <w:ind w:firstLine="640" w:firstLineChars="200"/>
        <w:rPr>
          <w:rFonts w:ascii="仿宋_GB2312" w:eastAsia="仿宋_GB2312" w:cs="仿宋_GB2312"/>
          <w:bCs/>
          <w:kern w:val="0"/>
          <w:sz w:val="32"/>
          <w:szCs w:val="32"/>
        </w:rPr>
      </w:pPr>
      <w:r>
        <w:rPr>
          <w:rFonts w:hint="eastAsia" w:ascii="仿宋_GB2312" w:eastAsia="仿宋_GB2312" w:cs="仿宋_GB2312"/>
          <w:bCs/>
          <w:kern w:val="0"/>
          <w:sz w:val="32"/>
          <w:szCs w:val="32"/>
        </w:rPr>
        <w:t>5. 社会保障和就业支出（类）民政管理事务（款）基层政权和社区建设（项）。年初预算为451.25万元，支出决算为451.25万元，完成年初预算的100%。</w:t>
      </w:r>
    </w:p>
    <w:p>
      <w:pPr>
        <w:spacing w:line="560" w:lineRule="exact"/>
        <w:ind w:firstLine="640" w:firstLineChars="200"/>
        <w:rPr>
          <w:rFonts w:ascii="仿宋_GB2312" w:eastAsia="仿宋_GB2312" w:cs="仿宋_GB2312"/>
          <w:bCs/>
          <w:color w:val="0000FF"/>
          <w:kern w:val="0"/>
          <w:sz w:val="32"/>
          <w:szCs w:val="32"/>
        </w:rPr>
      </w:pPr>
      <w:r>
        <w:rPr>
          <w:rFonts w:hint="eastAsia" w:ascii="仿宋_GB2312" w:eastAsia="仿宋_GB2312" w:cs="仿宋_GB2312"/>
          <w:bCs/>
          <w:kern w:val="0"/>
          <w:sz w:val="32"/>
          <w:szCs w:val="32"/>
        </w:rPr>
        <w:t xml:space="preserve">6. 社会保障和就业支出（类）民政管理事务（款）其他民政管理事务支出（项）。年初预算为424.27万元，支出决算为1,081.11万元，完成年初预算的225%。决算数大于预算数的主要原因是：财政下达2020年自治区转移支付预算指标；2020年市人大代表建议和政协委员提案专项资金；财政拨付绩效考评经费补差；动用上年结转结余资金等。  </w:t>
      </w:r>
    </w:p>
    <w:p>
      <w:pPr>
        <w:spacing w:line="560" w:lineRule="exact"/>
        <w:ind w:firstLine="640" w:firstLineChars="200"/>
        <w:rPr>
          <w:rFonts w:ascii="仿宋_GB2312" w:eastAsia="仿宋_GB2312" w:cs="仿宋_GB2312"/>
          <w:bCs/>
          <w:kern w:val="0"/>
          <w:sz w:val="32"/>
          <w:szCs w:val="32"/>
        </w:rPr>
      </w:pPr>
      <w:r>
        <w:rPr>
          <w:rFonts w:hint="eastAsia" w:ascii="仿宋_GB2312" w:eastAsia="仿宋_GB2312" w:cs="仿宋_GB2312"/>
          <w:bCs/>
          <w:kern w:val="0"/>
          <w:sz w:val="32"/>
          <w:szCs w:val="32"/>
        </w:rPr>
        <w:t>7. 社会保障和就业支出（类）行政事业单位离退休（款）归口管理的行政单位离退休（项）。年初预算为125.49万元，支出决算为159.47万元，完成年初预算的127%。决算数大于预算数的主要原因是市财政拨款用于离退休人员生活补助以及离休费。</w:t>
      </w:r>
    </w:p>
    <w:p>
      <w:pPr>
        <w:ind w:firstLine="640" w:firstLineChars="200"/>
        <w:rPr>
          <w:rFonts w:ascii="仿宋" w:hAnsi="仿宋" w:eastAsia="仿宋" w:cs="仿宋"/>
          <w:sz w:val="30"/>
          <w:szCs w:val="30"/>
        </w:rPr>
      </w:pPr>
      <w:r>
        <w:rPr>
          <w:rFonts w:hint="eastAsia" w:ascii="仿宋_GB2312" w:eastAsia="仿宋_GB2312" w:cs="仿宋_GB2312"/>
          <w:bCs/>
          <w:kern w:val="0"/>
          <w:sz w:val="32"/>
          <w:szCs w:val="32"/>
        </w:rPr>
        <w:t>8. 社会保障和就业支出（类）行政事业单位离退休（款）事业单位离退休（项）。年初预算为</w:t>
      </w:r>
      <w:r>
        <w:rPr>
          <w:rFonts w:hint="eastAsia" w:ascii="仿宋_GB2312" w:hAnsi="华文仿宋" w:eastAsia="仿宋_GB2312"/>
          <w:bCs/>
          <w:sz w:val="32"/>
          <w:szCs w:val="32"/>
        </w:rPr>
        <w:t>115.97</w:t>
      </w:r>
      <w:r>
        <w:rPr>
          <w:rFonts w:hint="eastAsia" w:ascii="仿宋_GB2312" w:eastAsia="仿宋_GB2312" w:cs="仿宋_GB2312"/>
          <w:bCs/>
          <w:kern w:val="0"/>
          <w:sz w:val="32"/>
          <w:szCs w:val="32"/>
        </w:rPr>
        <w:t>万元，支出决算为126.38万元，完成年初预算的109%。决算数大于预算数的主要原因是财政补助事业单位支付离退休生活补助款、退休物业补贴款、退休春节慰问金等。</w:t>
      </w:r>
    </w:p>
    <w:p>
      <w:pPr>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9. 社会保障和就业支出（类）行政事业单位离退休（款）机关事业单位基本养老保险缴费支出（项）。年初预算为415.55万元，支出决算为405.62万元，完成年初预算的98%。决算数小于预算数的主要原因是动用了上年结转养老保险费；儿童福利院当年退休2人、辞职1人、调离2人，导致养老保险缴费略有剩余。</w:t>
      </w:r>
    </w:p>
    <w:p>
      <w:pPr>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10. 社会保障和就业支出（类）行政事业单位离退休（款）机关事业单位职业年金缴费支出（项）。年初预算为207.78万元，支出决算为209.79万元，完成年初预算的92%。决算数小于预算数的主要原因是儿童福利院当年退休2人、辞职1人、调离2人，故本年单位职业年金费略有剩余。</w:t>
      </w:r>
    </w:p>
    <w:p>
      <w:pPr>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11. 社会保障和就业支出（类）抚恤（款）优抚事业单位支出（项）。年初预算为0万元，支出决算为6.03万元，完成年初预算约100%。决算数大于预算数的主要原因是财政拨付资金柳州市公墓管理处2019年烈士陵园广场绿化工程资金，为项目质保金。</w:t>
      </w:r>
    </w:p>
    <w:p>
      <w:pPr>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12. 社会保障和就业支出（类）社会福利（款）儿童福利（项）。年初预算为1,662.81万元，支出决算为2,057.59万元，完成年初预算的124%。决算数大于预算数的主要原因是儿童福利院2020年本单位收到中央、自治区拨付儿童救济费资金、财政下达2020年增人增资款。 </w:t>
      </w:r>
    </w:p>
    <w:p>
      <w:pPr>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13. 社会保障和就业支出（类）社会福利（款）老年福利（项）。年初预算为1,123.41万元，支出决算为1,376.07万元，完成年初预算的122%。决算数大于预算数的主要原因是柳州市社会福利院财政下达2020年增人增资款。</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14. 社会保障和就业支出（类）社会福利（款）殡葬（项）。年初预算为</w:t>
      </w:r>
      <w:r>
        <w:rPr>
          <w:rFonts w:hint="eastAsia" w:ascii="仿宋_GB2312" w:hAnsi="华文仿宋" w:eastAsia="仿宋_GB2312"/>
          <w:bCs/>
          <w:sz w:val="32"/>
          <w:szCs w:val="32"/>
        </w:rPr>
        <w:t>4</w:t>
      </w:r>
      <w:r>
        <w:rPr>
          <w:rFonts w:hint="eastAsia" w:ascii="仿宋_GB2312" w:eastAsia="仿宋_GB2312" w:cs="仿宋_GB2312"/>
          <w:bCs/>
          <w:kern w:val="0"/>
          <w:sz w:val="32"/>
          <w:szCs w:val="32"/>
        </w:rPr>
        <w:t>,</w:t>
      </w:r>
      <w:r>
        <w:rPr>
          <w:rFonts w:hint="eastAsia" w:ascii="仿宋_GB2312" w:hAnsi="华文仿宋" w:eastAsia="仿宋_GB2312"/>
          <w:bCs/>
          <w:sz w:val="32"/>
          <w:szCs w:val="32"/>
        </w:rPr>
        <w:t>942.25</w:t>
      </w:r>
      <w:r>
        <w:rPr>
          <w:rFonts w:hint="eastAsia" w:ascii="仿宋_GB2312" w:eastAsia="仿宋_GB2312" w:cs="仿宋_GB2312"/>
          <w:bCs/>
          <w:kern w:val="0"/>
          <w:sz w:val="32"/>
          <w:szCs w:val="32"/>
        </w:rPr>
        <w:t>万元，支出决算为4,306.13万元，完成年初预算的87%。决算数小于预算数的主要原因是：公墓管理处为自收自支单位、实行收支两条线管理，其中结余资金主要为：紫薇苑工程达到500万以上，金额达到限额以上，正在走住建委报批程序，项目尚未能实施；西山公墓北大门广场配套工程、西山公墓骨灰灵堂休息长廊工程、公墓焚烧祭祀廊至后门道路硬化工程、12月石材刻字安葬结算等，按照项目进度支付；剩余经费历年结转结余石材费用。柳州市殡葬管理处：剩余经费为历年结转结余，财政按单位上缴收入的75%返回单位做为单位收入，留存下年使用。</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15. 社会保障和就业支出（类）社会福利（款）社会福利事业单位（项）。年初预算为1,432.63万元，支出决算为1,520.24万元，完成年初预算的106%。决算数大于预算数的主要原因是柳州市养老服务促进中心为新成立单位，增人增资经费12月下达。</w:t>
      </w:r>
    </w:p>
    <w:p>
      <w:pPr>
        <w:autoSpaceDE w:val="0"/>
        <w:autoSpaceDN w:val="0"/>
        <w:adjustRightInd w:val="0"/>
        <w:spacing w:line="560" w:lineRule="exact"/>
        <w:ind w:firstLine="640" w:firstLineChars="200"/>
        <w:jc w:val="left"/>
        <w:rPr>
          <w:rFonts w:ascii="仿宋_GB2312" w:eastAsia="仿宋_GB2312" w:cs="仿宋_GB2312"/>
          <w:bCs/>
          <w:color w:val="0000FF"/>
          <w:kern w:val="0"/>
          <w:sz w:val="32"/>
          <w:szCs w:val="32"/>
        </w:rPr>
      </w:pPr>
      <w:r>
        <w:rPr>
          <w:rFonts w:hint="eastAsia" w:ascii="仿宋_GB2312" w:eastAsia="仿宋_GB2312" w:cs="仿宋_GB2312"/>
          <w:bCs/>
          <w:kern w:val="0"/>
          <w:sz w:val="32"/>
          <w:szCs w:val="32"/>
        </w:rPr>
        <w:t>16. 社会保障和就业支出（类）社会福利（款）养老服务（项）。年初预算为</w:t>
      </w:r>
      <w:r>
        <w:rPr>
          <w:rFonts w:hint="eastAsia" w:ascii="仿宋_GB2312" w:hAnsi="华文仿宋" w:eastAsia="仿宋_GB2312"/>
          <w:bCs/>
          <w:sz w:val="32"/>
          <w:szCs w:val="32"/>
        </w:rPr>
        <w:t>0</w:t>
      </w:r>
      <w:r>
        <w:rPr>
          <w:rFonts w:hint="eastAsia" w:ascii="仿宋_GB2312" w:eastAsia="仿宋_GB2312" w:cs="仿宋_GB2312"/>
          <w:bCs/>
          <w:kern w:val="0"/>
          <w:sz w:val="32"/>
          <w:szCs w:val="32"/>
        </w:rPr>
        <w:t>万元，支出决算为684.88万元，完成年初预算的100%。决算数大于预算数的主要原因是财政下达2020年市本级预算内基本建设投资项目预算。</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17. 社会保障和就业支出（类）残疾人事业（款）其他残疾人事业支出（项）。年初预算为</w:t>
      </w:r>
      <w:r>
        <w:rPr>
          <w:rFonts w:hint="eastAsia" w:ascii="仿宋_GB2312" w:hAnsi="华文仿宋" w:eastAsia="仿宋_GB2312"/>
          <w:bCs/>
          <w:sz w:val="32"/>
          <w:szCs w:val="32"/>
        </w:rPr>
        <w:t>160</w:t>
      </w:r>
      <w:r>
        <w:rPr>
          <w:rFonts w:hint="eastAsia" w:ascii="仿宋_GB2312" w:eastAsia="仿宋_GB2312" w:cs="仿宋_GB2312"/>
          <w:bCs/>
          <w:kern w:val="0"/>
          <w:sz w:val="32"/>
          <w:szCs w:val="32"/>
        </w:rPr>
        <w:t>.00万元，支出决算为160.00万元，完成年初预算的100%。</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18. 社会保障和就业支出（类）红十字事业（款）其他红十字事业支出（项）。年初预算为</w:t>
      </w:r>
      <w:r>
        <w:rPr>
          <w:rFonts w:hint="eastAsia" w:ascii="仿宋_GB2312" w:hAnsi="华文仿宋" w:eastAsia="仿宋_GB2312"/>
          <w:bCs/>
          <w:sz w:val="32"/>
          <w:szCs w:val="32"/>
        </w:rPr>
        <w:t>0</w:t>
      </w:r>
      <w:r>
        <w:rPr>
          <w:rFonts w:hint="eastAsia" w:ascii="仿宋_GB2312" w:eastAsia="仿宋_GB2312" w:cs="仿宋_GB2312"/>
          <w:bCs/>
          <w:kern w:val="0"/>
          <w:sz w:val="32"/>
          <w:szCs w:val="32"/>
        </w:rPr>
        <w:t>万元，支出决算为192.81万元，完成年初预算的100%。决算数大于预算数的主要原因是柳州市公墓管理处的柳州市遗体器官捐献者缅怀纪念建筑项目工程经费。</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19. 社会保障和就业支出（类）临时救助（款）流浪乞讨人员救助支出（项）。年初预算为</w:t>
      </w:r>
      <w:r>
        <w:rPr>
          <w:rFonts w:hint="eastAsia" w:ascii="仿宋_GB2312" w:hAnsi="华文仿宋" w:eastAsia="仿宋_GB2312"/>
          <w:bCs/>
          <w:sz w:val="32"/>
          <w:szCs w:val="32"/>
        </w:rPr>
        <w:t>208.88</w:t>
      </w:r>
      <w:r>
        <w:rPr>
          <w:rFonts w:hint="eastAsia" w:ascii="仿宋_GB2312" w:eastAsia="仿宋_GB2312" w:cs="仿宋_GB2312"/>
          <w:bCs/>
          <w:kern w:val="0"/>
          <w:sz w:val="32"/>
          <w:szCs w:val="32"/>
        </w:rPr>
        <w:t>万元，支出决算为900.71万元，完成年初预算的412%。决算数大于预算数的主要原因是柳州市救助管理站</w:t>
      </w:r>
      <w:r>
        <w:rPr>
          <w:rFonts w:ascii="仿宋_GB2312" w:eastAsia="仿宋_GB2312" w:cs="仿宋_GB2312"/>
          <w:bCs/>
          <w:kern w:val="0"/>
          <w:sz w:val="32"/>
          <w:szCs w:val="32"/>
        </w:rPr>
        <w:t>动用上年结转结余资金以及中央自治区拨款支付救济费</w:t>
      </w:r>
      <w:r>
        <w:rPr>
          <w:rFonts w:hint="eastAsia" w:ascii="仿宋_GB2312" w:eastAsia="仿宋_GB2312" w:cs="仿宋_GB2312"/>
          <w:bCs/>
          <w:kern w:val="0"/>
          <w:sz w:val="32"/>
          <w:szCs w:val="32"/>
        </w:rPr>
        <w:t>、未保服务项目费。</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20. 社会保障和就业支出（类）其他生活救助（款）其他农村生活救助（项）。年初预算为8.88万元，支出决算为8.88万元，完成年初预算的100%。</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21. 社会保障和就业支出（类）退役军人管理事务（款）拥军优属（项）。年初预算为</w:t>
      </w:r>
      <w:r>
        <w:rPr>
          <w:rFonts w:hint="eastAsia" w:ascii="仿宋_GB2312" w:hAnsi="华文仿宋" w:eastAsia="仿宋_GB2312"/>
          <w:bCs/>
          <w:sz w:val="32"/>
          <w:szCs w:val="32"/>
        </w:rPr>
        <w:t>0</w:t>
      </w:r>
      <w:r>
        <w:rPr>
          <w:rFonts w:hint="eastAsia" w:ascii="仿宋_GB2312" w:eastAsia="仿宋_GB2312" w:cs="仿宋_GB2312"/>
          <w:bCs/>
          <w:kern w:val="0"/>
          <w:sz w:val="32"/>
          <w:szCs w:val="32"/>
        </w:rPr>
        <w:t>万元，支出决算为2.33万元，完成年初预算的100%。决算数大于预算数的主要原因是动用上年结转结余经费。</w:t>
      </w:r>
    </w:p>
    <w:p>
      <w:pPr>
        <w:autoSpaceDE w:val="0"/>
        <w:autoSpaceDN w:val="0"/>
        <w:adjustRightInd w:val="0"/>
        <w:spacing w:line="560" w:lineRule="exact"/>
        <w:ind w:firstLine="640" w:firstLineChars="200"/>
        <w:jc w:val="left"/>
        <w:rPr>
          <w:rFonts w:ascii="仿宋_GB2312" w:eastAsia="仿宋" w:cs="仿宋_GB2312"/>
          <w:bCs/>
          <w:kern w:val="0"/>
          <w:sz w:val="32"/>
          <w:szCs w:val="32"/>
        </w:rPr>
      </w:pPr>
      <w:r>
        <w:rPr>
          <w:rFonts w:hint="eastAsia" w:ascii="仿宋_GB2312" w:eastAsia="仿宋_GB2312" w:cs="仿宋_GB2312"/>
          <w:bCs/>
          <w:kern w:val="0"/>
          <w:sz w:val="32"/>
          <w:szCs w:val="32"/>
        </w:rPr>
        <w:t>22. 卫生健康支出（类）公共卫生（款）重大公共卫生专项（项）。年初预算为0万元，支出决算为11.18万元，完成年初预算的100%。决算数大于预算数的主要原因是财政下拨柳州市社会福利医院项目资金精神病防治专项工作经费。</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23. 卫生健康支出（类）行政事业单位医疗（款）其他公共卫生支出（项）。年初预算为</w:t>
      </w:r>
      <w:r>
        <w:rPr>
          <w:rFonts w:hint="eastAsia" w:ascii="仿宋_GB2312" w:hAnsi="华文仿宋" w:eastAsia="仿宋_GB2312"/>
          <w:bCs/>
          <w:sz w:val="32"/>
          <w:szCs w:val="32"/>
        </w:rPr>
        <w:t>0</w:t>
      </w:r>
      <w:r>
        <w:rPr>
          <w:rFonts w:hint="eastAsia" w:ascii="仿宋_GB2312" w:eastAsia="仿宋_GB2312" w:cs="仿宋_GB2312"/>
          <w:bCs/>
          <w:kern w:val="0"/>
          <w:sz w:val="32"/>
          <w:szCs w:val="32"/>
        </w:rPr>
        <w:t>万元，支出决算为3.81万元，完成年初预算的100%。决算数大于预算数的主要原因是市财政拨付柳州市社会福利医院用于精神卫生防疫项目资金。</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24. 卫生健康支出（类）行政事业单位医疗（款）行政单位医疗（项）。年初预算为</w:t>
      </w:r>
      <w:r>
        <w:rPr>
          <w:rFonts w:hint="eastAsia" w:ascii="仿宋_GB2312" w:hAnsi="华文仿宋" w:eastAsia="仿宋_GB2312"/>
          <w:bCs/>
          <w:sz w:val="32"/>
          <w:szCs w:val="32"/>
        </w:rPr>
        <w:t>10</w:t>
      </w:r>
      <w:r>
        <w:rPr>
          <w:rFonts w:hint="eastAsia" w:ascii="仿宋_GB2312" w:eastAsia="仿宋_GB2312" w:cs="仿宋_GB2312"/>
          <w:bCs/>
          <w:kern w:val="0"/>
          <w:sz w:val="32"/>
          <w:szCs w:val="32"/>
        </w:rPr>
        <w:t>6.34万元，支出决算为127.21万元，完成年初预算的119%。决算数大于预算数的主要原因是市财政拨付行政事业单位职工医疗保险款。</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25. 卫生健康支出（类）行政事业单位医疗（款）事业单位医疗（项）。年初预算为125.47万元，支出决算为109.96万元，完成年初预算的87%。决算数小于预算数的主要原因是柳州市按摩医院：人员变动、人员退休，事业单位医疗经费略有剩余，结转到2021年支付。</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26. 卫生健康支出（类）行政事业单位医疗（款）公务员医疗补助（项）。年初预算为75.21万元，支出决算为92.25万元，完成年初预算的123%。决算数大于预算数的主要原因是市财政下达公务员医疗补助增人增资款。</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27. 卫生健康支出（类）行政事业单位医疗（款）其他行政事业单位医疗支出（项）。年初预算为</w:t>
      </w:r>
      <w:r>
        <w:rPr>
          <w:rFonts w:hint="eastAsia" w:ascii="仿宋_GB2312" w:hAnsi="华文仿宋" w:eastAsia="仿宋_GB2312"/>
          <w:bCs/>
          <w:sz w:val="32"/>
          <w:szCs w:val="32"/>
        </w:rPr>
        <w:t>0</w:t>
      </w:r>
      <w:r>
        <w:rPr>
          <w:rFonts w:hint="eastAsia" w:ascii="仿宋_GB2312" w:eastAsia="仿宋_GB2312" w:cs="仿宋_GB2312"/>
          <w:bCs/>
          <w:kern w:val="0"/>
          <w:sz w:val="32"/>
          <w:szCs w:val="32"/>
        </w:rPr>
        <w:t>万元，支出决算为0.43万元，完成年初预算的100%。决算数大于预算数的主要原因是市财政拨付柳州市社会福利医院、柳州市社会福利院、柳州市救助管理站增人增资及调资拨入职工医疗保险款。</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28. 卫生健康支出（类）老龄卫生健康事务（款）老龄卫生健康事务（项）。年初预算为526.44万元，支出决算为532.96万元，完成年初预算的101%。决算数大于预算数的主要原因是动用上年结转结余资金6.52万元开展老龄卫生健康事务项目。</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29. 城乡社区支出（类）城乡社区规划与管理（款）城乡社区规划与管理（项）。年初预算为0万元，支出决算为30.00万元，完成年初预算的100%。决算数大于预算数的主要原因是财政下达2020年城乡社区事务规划编制和项目前期费专项支出预算，用于民政事业发展“十四五”规划。</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30. 住房保障支出（类）住房改革支出（款）住房公积金（项）。年初预算为</w:t>
      </w:r>
      <w:r>
        <w:rPr>
          <w:rFonts w:hint="eastAsia" w:ascii="仿宋_GB2312" w:hAnsi="华文仿宋" w:eastAsia="仿宋_GB2312"/>
          <w:bCs/>
          <w:sz w:val="32"/>
          <w:szCs w:val="32"/>
        </w:rPr>
        <w:t>311.67</w:t>
      </w:r>
      <w:r>
        <w:rPr>
          <w:rFonts w:hint="eastAsia" w:ascii="仿宋_GB2312" w:eastAsia="仿宋_GB2312" w:cs="仿宋_GB2312"/>
          <w:bCs/>
          <w:kern w:val="0"/>
          <w:sz w:val="32"/>
          <w:szCs w:val="32"/>
        </w:rPr>
        <w:t>万元，支出决算为385.47万元，完成年初预算的124%。决算数大于预算数的主要原因是财政下拨增人增资公积金款项。</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31. 住房保障支出（类）住房改革支出（款）购房补贴（项）。年初预算为0万元，支出决算为5.24万元，完成年初预算的100%。决算数大于预算数的主要原因是财政按文件拨付职工购房补贴款项。</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32. 住房保障支出（类）城乡社区住宅（款）公有住房建设和维修改造支出（项）。年初预算为0万元，支出决算为0.16万元，完成年初预算的100%。决算数大于预算数的主要原因是殡葬管理处职工失业保险、工伤生育保险增人增资款。</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33. 粮油物资储备支出（类）重要商品储备（款）其他重要商品储备支出（项）。年初预算为0万元，支出决算为1,920.3万元，完成年初预算的100%。决算数大于预算数的主要原因是财政下达2020年市本级预算内基本建设投资项目预算，用于备灾仓库建设1,920.3万元，用于备灾仓库建设项目经费。</w:t>
      </w:r>
    </w:p>
    <w:p>
      <w:pPr>
        <w:autoSpaceDE w:val="0"/>
        <w:autoSpaceDN w:val="0"/>
        <w:adjustRightInd w:val="0"/>
        <w:spacing w:line="580" w:lineRule="exact"/>
        <w:ind w:firstLine="640" w:firstLineChars="200"/>
        <w:jc w:val="left"/>
        <w:rPr>
          <w:rFonts w:ascii="仿宋_GB2312" w:eastAsia="仿宋_GB2312" w:cs="仿宋_GB2312"/>
          <w:b/>
          <w:kern w:val="0"/>
          <w:sz w:val="32"/>
          <w:szCs w:val="32"/>
        </w:rPr>
      </w:pPr>
      <w:r>
        <w:rPr>
          <w:rFonts w:hint="eastAsia" w:ascii="仿宋_GB2312" w:eastAsia="仿宋_GB2312" w:cs="仿宋_GB2312"/>
          <w:bCs/>
          <w:kern w:val="0"/>
          <w:sz w:val="32"/>
          <w:szCs w:val="32"/>
        </w:rPr>
        <w:t>六、</w:t>
      </w:r>
      <w:r>
        <w:rPr>
          <w:rFonts w:hint="eastAsia" w:ascii="仿宋_GB2312" w:eastAsia="仿宋_GB2312" w:cs="仿宋_GB2312"/>
          <w:b/>
          <w:kern w:val="0"/>
          <w:sz w:val="32"/>
          <w:szCs w:val="32"/>
        </w:rPr>
        <w:t>2020年度一般公共预算财政拨款基本支出决算情况</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2020年度财政拨款基本支出7,051.89万元，其中：</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人员经费6,480.04万元，主要包括：基本工资、津贴补贴、 奖金、伙食补助费、绩效工资、机关事业单位基本养老保险缴费、职业年金缴费、其他社会保障缴费、其他工资福利支出、 离休费、退休费、抚恤金、生活补助、医疗费、奖励金、住房公积金等；</w:t>
      </w:r>
    </w:p>
    <w:p>
      <w:pPr>
        <w:autoSpaceDE w:val="0"/>
        <w:autoSpaceDN w:val="0"/>
        <w:adjustRightInd w:val="0"/>
        <w:spacing w:line="56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公用经费571.86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等。</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七、</w:t>
      </w:r>
      <w:r>
        <w:rPr>
          <w:rFonts w:hint="eastAsia" w:ascii="仿宋_GB2312" w:eastAsia="仿宋_GB2312" w:cs="仿宋_GB2312"/>
          <w:b/>
          <w:kern w:val="0"/>
          <w:sz w:val="32"/>
          <w:szCs w:val="32"/>
        </w:rPr>
        <w:t>2020 年度一般公共预算财政拨款“三公” 经费支出决算情况</w:t>
      </w:r>
      <w:r>
        <w:rPr>
          <w:rFonts w:hint="eastAsia" w:ascii="仿宋_GB2312" w:eastAsia="仿宋_GB2312" w:cs="仿宋_GB2312"/>
          <w:bCs/>
          <w:kern w:val="0"/>
          <w:sz w:val="32"/>
          <w:szCs w:val="32"/>
        </w:rPr>
        <w:t xml:space="preserve"> </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（一）“三公”经费财政拨款支出决算总体情况 </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2020 年度“三公”经费财政拨款支出预算为98.45万元，支出决算为62.19万元，完成预算的63%，其中：因公出国（境）费支出决算为0万元，完成预算的100%；公务用车购置及运行费支出决算为56.34万元，完成预算的66%；公务接待费支出决算为5.85万元，完成预算的45%。2020年度“三公”经费支出决算数小于预算数的主要原因是认真贯彻落实中央八项规定精神和厉行节约要求，进一步从严控制“三公”经费开支；新冠肺炎疫情原因导致接待减少，全年实际支出比预算有所节约。</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2020年度“三公”经费财政拨款支出决算数比2019年增加0.02万元，增加0.003%，其中：因公出国（境）费支出决 算减少0万元，下降0%；公务用车购置及运行费支出决算增加1.45万元，增加2.63%；公务接待费支出决算减少4.13万元，下降20%。</w:t>
      </w:r>
    </w:p>
    <w:p>
      <w:pPr>
        <w:spacing w:line="520" w:lineRule="exact"/>
        <w:ind w:firstLine="709"/>
        <w:rPr>
          <w:rFonts w:ascii="仿宋_GB2312" w:eastAsia="仿宋_GB2312" w:cs="仿宋_GB2312"/>
          <w:bCs/>
          <w:kern w:val="0"/>
          <w:sz w:val="32"/>
          <w:szCs w:val="32"/>
        </w:rPr>
      </w:pPr>
      <w:r>
        <w:rPr>
          <w:rFonts w:hint="eastAsia" w:ascii="仿宋_GB2312" w:eastAsia="仿宋_GB2312" w:cs="仿宋_GB2312"/>
          <w:bCs/>
          <w:kern w:val="0"/>
          <w:sz w:val="32"/>
          <w:szCs w:val="32"/>
        </w:rPr>
        <w:t>因公出国（境）费支出减少的主要原因是</w:t>
      </w:r>
      <w:r>
        <w:rPr>
          <w:rFonts w:hint="eastAsia" w:ascii="仿宋_GB2312" w:hAnsi="仿宋" w:eastAsia="仿宋_GB2312" w:cs="仿宋"/>
          <w:sz w:val="32"/>
          <w:szCs w:val="32"/>
        </w:rPr>
        <w:t>本年度无因公出国</w:t>
      </w:r>
      <w:r>
        <w:rPr>
          <w:rFonts w:hint="eastAsia" w:ascii="仿宋_GB2312" w:eastAsia="仿宋_GB2312" w:cs="仿宋_GB2312"/>
          <w:bCs/>
          <w:kern w:val="0"/>
          <w:sz w:val="32"/>
          <w:szCs w:val="32"/>
        </w:rPr>
        <w:t>；公务用车购置及运行费支出增加的主要原因是</w:t>
      </w:r>
      <w:r>
        <w:rPr>
          <w:rFonts w:hint="eastAsia" w:ascii="仿宋_GB2312" w:hAnsi="仿宋" w:eastAsia="仿宋_GB2312" w:cs="仿宋"/>
          <w:sz w:val="32"/>
          <w:szCs w:val="32"/>
        </w:rPr>
        <w:t>柳州市殡葬管理处车辆使用次数增多，接运任务增加、运行成本增加，故支出数增加</w:t>
      </w:r>
      <w:r>
        <w:rPr>
          <w:rFonts w:hint="eastAsia" w:ascii="仿宋_GB2312" w:eastAsia="仿宋_GB2312" w:cs="仿宋_GB2312"/>
          <w:bCs/>
          <w:kern w:val="0"/>
          <w:sz w:val="32"/>
          <w:szCs w:val="32"/>
        </w:rPr>
        <w:t>；公务接待费支出减少的主要原因是因疫情原因，公务接待减少；</w:t>
      </w:r>
      <w:r>
        <w:rPr>
          <w:rFonts w:hint="eastAsia" w:ascii="仿宋_GB2312" w:hAnsi="仿宋" w:eastAsia="仿宋_GB2312" w:cs="仿宋"/>
          <w:sz w:val="32"/>
          <w:szCs w:val="32"/>
        </w:rPr>
        <w:t>机构改革，局属单位划转，人员减少，支出减少。</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（二）“三公”经费财政拨款支出决算具体情况</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2020年度“三公”经费财政拨款支出决算中，因公出国（境）费支出决算0万元，占0%；公务用车购置及运行费支出决算56.34万元，占91%；公务接待费支出决算5.85万元，占9%。具体情况如下：  </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1.因公出国（境）费支出0万元。全年安排机关和所属单位因公出国（境）团组0个，累计0人次。 </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2.公务用车购置及运行费支出56.34万元。其中：公务用车购置支出为0万元。公务用车运行支出56.34万元。主要用于殡葬管理处接运业务用车支出。2020年，机关所属单位开支财政拨款的公务用车保有量为20辆，其中：柳州市社会福利院2辆、柳州市社会福利医院2辆、柳州市殡葬管理处11辆、柳州市儿童福利院2辆、柳州市公墓管理处2辆、柳州市按摩医院1辆。</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3.公务接待费支出5.85万元。其中：</w:t>
      </w:r>
    </w:p>
    <w:p>
      <w:pPr>
        <w:autoSpaceDE w:val="0"/>
        <w:autoSpaceDN w:val="0"/>
        <w:adjustRightInd w:val="0"/>
        <w:spacing w:line="580" w:lineRule="exact"/>
        <w:ind w:firstLine="640"/>
        <w:jc w:val="left"/>
        <w:rPr>
          <w:rFonts w:ascii="仿宋_GB2312" w:eastAsia="仿宋_GB2312" w:cs="仿宋_GB2312"/>
          <w:bCs/>
          <w:kern w:val="0"/>
          <w:sz w:val="32"/>
          <w:szCs w:val="32"/>
        </w:rPr>
      </w:pPr>
      <w:r>
        <w:rPr>
          <w:rFonts w:hint="eastAsia" w:ascii="仿宋_GB2312" w:eastAsia="仿宋_GB2312" w:cs="仿宋_GB2312"/>
          <w:bCs/>
          <w:kern w:val="0"/>
          <w:sz w:val="32"/>
          <w:szCs w:val="32"/>
        </w:rPr>
        <w:t>外宾接待支出0万元。2020年共接待国（境）外来访团组0个、来访外宾0人次。</w:t>
      </w:r>
    </w:p>
    <w:p>
      <w:pPr>
        <w:autoSpaceDE w:val="0"/>
        <w:autoSpaceDN w:val="0"/>
        <w:adjustRightInd w:val="0"/>
        <w:spacing w:line="580" w:lineRule="exact"/>
        <w:ind w:firstLine="640"/>
        <w:jc w:val="left"/>
        <w:rPr>
          <w:rFonts w:ascii="仿宋_GB2312" w:eastAsia="仿宋_GB2312" w:cs="仿宋_GB2312"/>
          <w:bCs/>
          <w:kern w:val="0"/>
          <w:sz w:val="32"/>
          <w:szCs w:val="32"/>
        </w:rPr>
      </w:pPr>
      <w:r>
        <w:rPr>
          <w:rFonts w:hint="eastAsia" w:ascii="仿宋_GB2312" w:eastAsia="仿宋_GB2312" w:cs="仿宋_GB2312"/>
          <w:bCs/>
          <w:kern w:val="0"/>
          <w:sz w:val="32"/>
          <w:szCs w:val="32"/>
        </w:rPr>
        <w:t>国内公务接待支出5.85万元。主要用于民政局本级养老事业、社会救助、低保、康复辅具等方面的公务接待支出。2020年共接待国内来访团组80个、来宾520人次。</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八、</w:t>
      </w:r>
      <w:r>
        <w:rPr>
          <w:rFonts w:hint="eastAsia" w:ascii="仿宋_GB2312" w:eastAsia="仿宋_GB2312" w:cs="仿宋_GB2312"/>
          <w:b/>
          <w:kern w:val="0"/>
          <w:sz w:val="32"/>
          <w:szCs w:val="32"/>
        </w:rPr>
        <w:t xml:space="preserve">2020 年度政府性基金预算财政拨款收入支出决算情况说明 </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本部门 2020年度政府基金预算财政拨款收、支总决算 1,668.55万元、1,692.52万元。与 2019 年相比，收入总计减少1437.94万元，减少46%；支出总计减少893.91万元，减少35%。其中，支出情况为：</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2020年基金拨款年初预算为</w:t>
      </w:r>
      <w:r>
        <w:rPr>
          <w:rFonts w:hint="eastAsia" w:ascii="仿宋_GB2312" w:eastAsia="仿宋_GB2312"/>
          <w:sz w:val="28"/>
          <w:szCs w:val="28"/>
        </w:rPr>
        <w:t>879.50</w:t>
      </w:r>
      <w:r>
        <w:rPr>
          <w:rFonts w:hint="eastAsia" w:ascii="仿宋_GB2312" w:eastAsia="仿宋_GB2312" w:cs="仿宋_GB2312"/>
          <w:bCs/>
          <w:kern w:val="0"/>
          <w:sz w:val="32"/>
          <w:szCs w:val="32"/>
        </w:rPr>
        <w:t>万元，支出决算1,692.52万元，完成年初预算192%，决算大于预算数主要原因：一是年中追加安排财政拨款支出预算，涉及项目有民政养老事业、儿童福利服务体系建设项目、社会救助类政府购买服务、社会组织孵化基地项目、福利彩票销售机构业务等；二是部分支出按规定，通过使用以前年度财政拨款结转资金解决。其中：</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1. 其他支出（类）彩票发行销售机构业务费安排的支出（款）福利彩票销售机构的业务费支出（项）。年初预算为879.5万元，支出决算为683.32万元，完成年初预算的68%。决算数小于预算数的主要原因是柳州市社会福利有奖募捐办公室：疫情及国家政策收紧，导致彩票销量大幅下降；解聘聘用人员，导致支出减少。</w:t>
      </w:r>
    </w:p>
    <w:p>
      <w:pPr>
        <w:autoSpaceDE w:val="0"/>
        <w:autoSpaceDN w:val="0"/>
        <w:adjustRightInd w:val="0"/>
        <w:spacing w:line="580" w:lineRule="exact"/>
        <w:ind w:firstLine="320" w:firstLineChars="100"/>
        <w:jc w:val="left"/>
        <w:rPr>
          <w:rFonts w:ascii="仿宋_GB2312" w:eastAsia="仿宋_GB2312" w:cs="仿宋_GB2312"/>
          <w:bCs/>
          <w:kern w:val="0"/>
          <w:sz w:val="32"/>
          <w:szCs w:val="32"/>
        </w:rPr>
      </w:pPr>
      <w:r>
        <w:rPr>
          <w:rFonts w:hint="eastAsia" w:ascii="仿宋_GB2312" w:eastAsia="仿宋_GB2312" w:cs="仿宋_GB2312"/>
          <w:bCs/>
          <w:kern w:val="0"/>
          <w:sz w:val="32"/>
          <w:szCs w:val="32"/>
        </w:rPr>
        <w:t>2. 其他支出（类）彩票公益金安排的支出（款）用于社会福利的彩票公益金支出（项）。年初预算为0万元，支出决算为1,625.37万元，完成年初预算的100%。决算数大于预算数的主要原因是中央、自治区下达福利彩票公益金916.28万、动用上年结转结余709.09万元，用于民政养老事业、儿童福利服务体系建设项目、社会救助类政府购买服务、社会组织孵化基地项目、福利彩票销售机构业务支出等。</w:t>
      </w:r>
    </w:p>
    <w:p>
      <w:pPr>
        <w:numPr>
          <w:ilvl w:val="0"/>
          <w:numId w:val="1"/>
        </w:num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国有资本经营预算财政拨款支出情况说明</w:t>
      </w:r>
    </w:p>
    <w:p>
      <w:pPr>
        <w:autoSpaceDE w:val="0"/>
        <w:autoSpaceDN w:val="0"/>
        <w:adjustRightInd w:val="0"/>
        <w:spacing w:line="580" w:lineRule="exact"/>
        <w:ind w:firstLine="640" w:firstLineChars="200"/>
        <w:jc w:val="left"/>
        <w:rPr>
          <w:rFonts w:ascii="仿宋_GB2312" w:eastAsia="仿宋_GB2312" w:cs="仿宋_GB2312"/>
          <w:bCs/>
          <w:color w:val="000000" w:themeColor="text1"/>
          <w:kern w:val="0"/>
          <w:sz w:val="32"/>
          <w:szCs w:val="32"/>
          <w14:textFill>
            <w14:solidFill>
              <w14:schemeClr w14:val="tx1"/>
            </w14:solidFill>
          </w14:textFill>
        </w:rPr>
      </w:pPr>
      <w:r>
        <w:rPr>
          <w:rFonts w:hint="eastAsia" w:ascii="仿宋_GB2312" w:eastAsia="仿宋_GB2312" w:cs="仿宋_GB2312"/>
          <w:bCs/>
          <w:kern w:val="0"/>
          <w:sz w:val="32"/>
          <w:szCs w:val="32"/>
        </w:rPr>
        <w:t>2020年度国有资本经营预算财政拨款本年收入0万元，2020年度国有资本经营预算财政拨款本年支出0万元</w:t>
      </w:r>
      <w:r>
        <w:rPr>
          <w:rFonts w:hint="eastAsia" w:ascii="仿宋_GB2312" w:eastAsia="仿宋_GB2312" w:cs="仿宋_GB2312"/>
          <w:bCs/>
          <w:color w:val="000000" w:themeColor="text1"/>
          <w:kern w:val="0"/>
          <w:sz w:val="32"/>
          <w:szCs w:val="32"/>
          <w14:textFill>
            <w14:solidFill>
              <w14:schemeClr w14:val="tx1"/>
            </w14:solidFill>
          </w14:textFill>
        </w:rPr>
        <w:t>，故本表无数据。</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eastAsia="仿宋_GB2312"/>
          <w:b/>
          <w:kern w:val="0"/>
          <w:sz w:val="32"/>
          <w:szCs w:val="32"/>
        </w:rPr>
        <w:t>十、2020</w:t>
      </w:r>
      <w:r>
        <w:rPr>
          <w:rFonts w:hint="eastAsia" w:ascii="仿宋_GB2312" w:eastAsia="仿宋_GB2312" w:cs="仿宋_GB2312"/>
          <w:b/>
          <w:kern w:val="0"/>
          <w:sz w:val="32"/>
          <w:szCs w:val="32"/>
        </w:rPr>
        <w:t xml:space="preserve"> 年度预算绩效情况说明</w:t>
      </w:r>
    </w:p>
    <w:p>
      <w:pPr>
        <w:numPr>
          <w:ilvl w:val="0"/>
          <w:numId w:val="2"/>
        </w:num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bCs/>
          <w:kern w:val="0"/>
          <w:sz w:val="32"/>
          <w:szCs w:val="32"/>
        </w:rPr>
        <w:t>绩效管理工作开展情况</w:t>
      </w:r>
    </w:p>
    <w:p>
      <w:pPr>
        <w:autoSpaceDE w:val="0"/>
        <w:autoSpaceDN w:val="0"/>
        <w:adjustRightInd w:val="0"/>
        <w:spacing w:line="580" w:lineRule="exact"/>
        <w:jc w:val="left"/>
        <w:rPr>
          <w:rFonts w:ascii="仿宋_GB2312" w:eastAsia="仿宋_GB2312" w:cs="仿宋_GB2312"/>
          <w:bCs/>
          <w:kern w:val="0"/>
          <w:sz w:val="32"/>
          <w:szCs w:val="32"/>
        </w:rPr>
      </w:pPr>
      <w:r>
        <w:rPr>
          <w:rFonts w:hint="eastAsia" w:ascii="仿宋_GB2312" w:eastAsia="仿宋_GB2312" w:cs="仿宋_GB2312"/>
          <w:bCs/>
          <w:kern w:val="0"/>
          <w:sz w:val="32"/>
          <w:szCs w:val="32"/>
        </w:rPr>
        <w:t xml:space="preserve">    根据财政预算管理要求，我部门组织对2020年度一般公共预算项目支出全面开展绩效自评。其中，支出绩效目标11个，共涉及预算资金14,060.66万元，自评覆盖率达到年初预算的96%。 </w:t>
      </w:r>
    </w:p>
    <w:p>
      <w:pPr>
        <w:autoSpaceDE w:val="0"/>
        <w:autoSpaceDN w:val="0"/>
        <w:adjustRightInd w:val="0"/>
        <w:spacing w:line="580" w:lineRule="exact"/>
        <w:ind w:firstLine="640" w:firstLineChars="200"/>
        <w:jc w:val="left"/>
        <w:rPr>
          <w:rFonts w:ascii="仿宋_GB2312" w:eastAsia="仿宋_GB2312" w:cs="仿宋_GB2312"/>
          <w:kern w:val="0"/>
          <w:sz w:val="32"/>
          <w:szCs w:val="32"/>
        </w:rPr>
      </w:pPr>
      <w:r>
        <w:rPr>
          <w:rFonts w:hint="eastAsia" w:ascii="仿宋_GB2312" w:eastAsia="仿宋_GB2312" w:cs="仿宋_GB2312"/>
          <w:bCs/>
          <w:kern w:val="0"/>
          <w:sz w:val="32"/>
          <w:szCs w:val="32"/>
        </w:rPr>
        <w:t>（二）部门决算中项目绩效自评结果。</w:t>
      </w:r>
    </w:p>
    <w:p>
      <w:pPr>
        <w:spacing w:line="600" w:lineRule="exact"/>
        <w:ind w:firstLine="640" w:firstLineChars="200"/>
        <w:rPr>
          <w:rFonts w:ascii="仿宋_GB2312" w:eastAsia="仿宋_GB2312" w:cs="仿宋_GB2312"/>
          <w:kern w:val="0"/>
          <w:sz w:val="32"/>
          <w:szCs w:val="32"/>
        </w:rPr>
      </w:pPr>
      <w:r>
        <w:rPr>
          <w:rFonts w:hint="eastAsia" w:ascii="仿宋_GB2312" w:eastAsia="仿宋_GB2312" w:cs="仿宋_GB2312"/>
          <w:kern w:val="0"/>
          <w:sz w:val="32"/>
          <w:szCs w:val="32"/>
        </w:rPr>
        <w:t>我部门根据年初设定的绩效目标，困难残疾人生活补贴、重度残疾人护理补贴和重度残疾人特困生活补助经费 项目自评得分为96.6分。发现的主要问题及原因：困难残疾人生活补贴、重度残疾人护理补贴和重度残疾人特困生活补助涉及资金量大、范围广、资金审核、发放、监管的专业人员有限，追踪资金的使用效率有一定难度。下一步改进措施：加大力度，确保残疾人补贴补助制度的顺利实施，确保残疾人合法权益得到维护。一是加大对残疾人补贴的资金投入力度；二是完善残疾人补贴政策法规；三是加强业务培训，简化残疾人补贴申请审批流程；四是加强与柳州市残疾人联合会之间的信息比对，对符合条件的残疾人应纳尽纳，确保残疾人合法权益；五是指导督促各县区按标准按时足额发放残疾人两项补贴和特困补助；六是做好精神障碍社区康复服务，加快推进康复辅助器具社区租赁服务试点工作。</w:t>
      </w:r>
    </w:p>
    <w:p>
      <w:pPr>
        <w:autoSpaceDE w:val="0"/>
        <w:autoSpaceDN w:val="0"/>
        <w:adjustRightInd w:val="0"/>
        <w:spacing w:line="580" w:lineRule="exact"/>
        <w:ind w:firstLine="640" w:firstLineChars="200"/>
        <w:jc w:val="left"/>
        <w:rPr>
          <w:rFonts w:ascii="仿宋_GB2312" w:eastAsia="仿宋_GB2312" w:cs="仿宋_GB2312"/>
          <w:bCs/>
          <w:kern w:val="0"/>
          <w:sz w:val="32"/>
          <w:szCs w:val="32"/>
        </w:rPr>
      </w:pPr>
      <w:r>
        <w:rPr>
          <w:rFonts w:hint="eastAsia" w:ascii="仿宋_GB2312" w:eastAsia="仿宋_GB2312" w:cs="仿宋_GB2312"/>
          <w:kern w:val="0"/>
          <w:sz w:val="32"/>
          <w:szCs w:val="32"/>
        </w:rPr>
        <w:t>（《项目支出绩效自评表》详见附件）</w:t>
      </w:r>
    </w:p>
    <w:p>
      <w:pPr>
        <w:autoSpaceDE w:val="0"/>
        <w:autoSpaceDN w:val="0"/>
        <w:adjustRightInd w:val="0"/>
        <w:spacing w:line="580" w:lineRule="exact"/>
        <w:ind w:firstLine="643" w:firstLineChars="200"/>
        <w:jc w:val="left"/>
        <w:rPr>
          <w:rFonts w:ascii="仿宋_GB2312" w:eastAsia="仿宋_GB2312" w:cs="仿宋_GB2312"/>
          <w:b/>
          <w:kern w:val="0"/>
          <w:sz w:val="32"/>
          <w:szCs w:val="32"/>
        </w:rPr>
      </w:pPr>
      <w:r>
        <w:rPr>
          <w:rFonts w:hint="eastAsia" w:ascii="仿宋_GB2312" w:eastAsia="仿宋_GB2312" w:cs="仿宋_GB2312"/>
          <w:b/>
          <w:kern w:val="0"/>
          <w:sz w:val="32"/>
          <w:szCs w:val="32"/>
        </w:rPr>
        <w:t>十一、其他重要事项的情况</w:t>
      </w:r>
    </w:p>
    <w:p>
      <w:pPr>
        <w:autoSpaceDE w:val="0"/>
        <w:autoSpaceDN w:val="0"/>
        <w:adjustRightInd w:val="0"/>
        <w:spacing w:line="580" w:lineRule="exact"/>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（一）机关运行经费支出情况。2020年度部门机关运行经费支出244.35万元，比2019年减少33.26万元，减少12%，减少原因为我部门</w:t>
      </w:r>
      <w:r>
        <w:rPr>
          <w:rFonts w:hint="eastAsia" w:ascii="仿宋_GB2312" w:eastAsia="仿宋_GB2312" w:cs="仿宋_GB2312"/>
          <w:bCs/>
          <w:kern w:val="0"/>
          <w:sz w:val="32"/>
          <w:szCs w:val="32"/>
        </w:rPr>
        <w:t>认真贯彻落实中央八项规定</w:t>
      </w:r>
      <w:bookmarkStart w:id="0" w:name="_GoBack"/>
      <w:bookmarkEnd w:id="0"/>
      <w:r>
        <w:rPr>
          <w:rFonts w:hint="eastAsia" w:ascii="仿宋_GB2312" w:eastAsia="仿宋_GB2312" w:cs="仿宋_GB2312"/>
          <w:bCs/>
          <w:kern w:val="0"/>
          <w:sz w:val="32"/>
          <w:szCs w:val="32"/>
        </w:rPr>
        <w:t>精神和厉行节约要求，进一步从严控制机关运行经费开支</w:t>
      </w:r>
      <w:r>
        <w:rPr>
          <w:rFonts w:hint="eastAsia" w:ascii="仿宋_GB2312" w:eastAsia="仿宋_GB2312" w:cs="仿宋_GB2312"/>
          <w:kern w:val="0"/>
          <w:sz w:val="32"/>
          <w:szCs w:val="32"/>
        </w:rPr>
        <w:t>；机构改革、局属单位划转，人员减少，导致机关运行经费减少。</w:t>
      </w:r>
    </w:p>
    <w:p>
      <w:pPr>
        <w:autoSpaceDE w:val="0"/>
        <w:autoSpaceDN w:val="0"/>
        <w:adjustRightInd w:val="0"/>
        <w:spacing w:line="580" w:lineRule="exact"/>
        <w:ind w:firstLine="640" w:firstLineChars="200"/>
        <w:jc w:val="left"/>
        <w:rPr>
          <w:rFonts w:ascii="仿宋_GB2312" w:eastAsia="仿宋_GB2312" w:cs="仿宋_GB2312"/>
          <w:kern w:val="0"/>
          <w:sz w:val="32"/>
          <w:szCs w:val="32"/>
        </w:rPr>
      </w:pPr>
      <w:r>
        <w:rPr>
          <w:rFonts w:hint="eastAsia" w:ascii="仿宋_GB2312" w:eastAsia="仿宋_GB2312" w:cs="仿宋_GB2312"/>
          <w:kern w:val="0"/>
          <w:sz w:val="32"/>
          <w:szCs w:val="32"/>
        </w:rPr>
        <w:t>（二）政府采购支出情况。2020年度部门政府采购支出总额</w:t>
      </w:r>
      <w:r>
        <w:rPr>
          <w:rFonts w:hint="eastAsia" w:ascii="仿宋_GB2312" w:hAnsi="仿宋" w:eastAsia="仿宋_GB2312" w:cs="仿宋"/>
          <w:bCs/>
          <w:sz w:val="32"/>
          <w:szCs w:val="32"/>
        </w:rPr>
        <w:t>2,739.48</w:t>
      </w:r>
      <w:r>
        <w:rPr>
          <w:rFonts w:hint="eastAsia" w:ascii="仿宋_GB2312" w:eastAsia="仿宋_GB2312" w:cs="仿宋_GB2312"/>
          <w:kern w:val="0"/>
          <w:sz w:val="32"/>
          <w:szCs w:val="32"/>
        </w:rPr>
        <w:t>万元，其中：</w:t>
      </w:r>
      <w:r>
        <w:rPr>
          <w:rFonts w:hint="eastAsia" w:ascii="仿宋_GB2312" w:hAnsi="仿宋" w:eastAsia="仿宋_GB2312" w:cs="仿宋"/>
          <w:bCs/>
          <w:sz w:val="32"/>
          <w:szCs w:val="32"/>
        </w:rPr>
        <w:t>货物支出1,183.72万元、服务支出1,187.66万元，工程支出368.10万元。</w:t>
      </w:r>
    </w:p>
    <w:p>
      <w:pPr>
        <w:autoSpaceDE w:val="0"/>
        <w:autoSpaceDN w:val="0"/>
        <w:adjustRightInd w:val="0"/>
        <w:spacing w:line="580" w:lineRule="exact"/>
        <w:ind w:firstLine="627" w:firstLineChars="196"/>
        <w:jc w:val="left"/>
        <w:rPr>
          <w:rFonts w:ascii="仿宋_GB2312" w:eastAsia="仿宋_GB2312" w:cs="仿宋_GB2312"/>
          <w:kern w:val="0"/>
          <w:sz w:val="32"/>
          <w:szCs w:val="32"/>
        </w:rPr>
      </w:pPr>
      <w:r>
        <w:rPr>
          <w:rFonts w:hint="eastAsia" w:ascii="仿宋_GB2312" w:eastAsia="仿宋_GB2312" w:cs="仿宋_GB2312"/>
          <w:kern w:val="0"/>
          <w:sz w:val="32"/>
          <w:szCs w:val="32"/>
        </w:rPr>
        <w:t xml:space="preserve">（三）国有资产占用情况。截至年末部门共有车辆34辆，其中：特种专业技术用车3辆；其他用车31辆。单价50万元以上通用设备0台（套），单价100 万元以上专用设备0台（套）。 </w:t>
      </w:r>
    </w:p>
    <w:p>
      <w:pPr>
        <w:ind w:firstLine="645"/>
        <w:rPr>
          <w:rFonts w:ascii="仿宋_GB2312" w:eastAsia="仿宋_GB2312"/>
          <w:b/>
          <w:sz w:val="32"/>
          <w:szCs w:val="32"/>
        </w:rPr>
      </w:pPr>
      <w:r>
        <w:rPr>
          <w:rFonts w:hint="eastAsia" w:ascii="仿宋_GB2312" w:eastAsia="仿宋_GB2312"/>
          <w:b/>
          <w:sz w:val="32"/>
          <w:szCs w:val="32"/>
        </w:rPr>
        <w:t>第四部分：名词解释</w:t>
      </w:r>
    </w:p>
    <w:p>
      <w:pPr>
        <w:numPr>
          <w:ilvl w:val="0"/>
          <w:numId w:val="3"/>
        </w:numPr>
        <w:ind w:firstLine="645"/>
        <w:rPr>
          <w:rFonts w:ascii="仿宋_GB2312" w:eastAsia="仿宋_GB2312"/>
          <w:bCs/>
          <w:sz w:val="32"/>
          <w:szCs w:val="32"/>
        </w:rPr>
      </w:pPr>
      <w:r>
        <w:rPr>
          <w:rFonts w:hint="eastAsia" w:ascii="仿宋_GB2312" w:eastAsia="仿宋_GB2312"/>
          <w:bCs/>
          <w:sz w:val="32"/>
          <w:szCs w:val="32"/>
        </w:rPr>
        <w:t>财政拨款收入：指市本级财政当年拨付的资金。</w:t>
      </w:r>
    </w:p>
    <w:p>
      <w:pPr>
        <w:numPr>
          <w:ilvl w:val="0"/>
          <w:numId w:val="3"/>
        </w:numPr>
        <w:ind w:firstLine="645"/>
        <w:rPr>
          <w:rFonts w:ascii="仿宋_GB2312" w:eastAsia="仿宋_GB2312"/>
          <w:bCs/>
          <w:sz w:val="32"/>
          <w:szCs w:val="32"/>
        </w:rPr>
      </w:pPr>
      <w:r>
        <w:rPr>
          <w:rFonts w:hint="eastAsia" w:ascii="仿宋_GB2312" w:eastAsia="仿宋_GB2312"/>
          <w:bCs/>
          <w:sz w:val="32"/>
          <w:szCs w:val="32"/>
        </w:rPr>
        <w:t>事业收入：指事业单位开展专业活动用辅助活动所取得的收入。</w:t>
      </w:r>
    </w:p>
    <w:p>
      <w:pPr>
        <w:numPr>
          <w:ilvl w:val="0"/>
          <w:numId w:val="3"/>
        </w:numPr>
        <w:ind w:firstLine="645"/>
        <w:rPr>
          <w:rFonts w:ascii="仿宋_GB2312" w:eastAsia="仿宋_GB2312"/>
          <w:bCs/>
          <w:sz w:val="32"/>
          <w:szCs w:val="32"/>
        </w:rPr>
      </w:pPr>
      <w:r>
        <w:rPr>
          <w:rFonts w:hint="eastAsia" w:ascii="仿宋_GB2312" w:eastAsia="仿宋_GB2312"/>
          <w:bCs/>
          <w:sz w:val="32"/>
          <w:szCs w:val="32"/>
        </w:rPr>
        <w:t>经营收入：指事业单位在专业业务活动及辅助活动之外开展非独立核算经营活动取得的收入。</w:t>
      </w:r>
    </w:p>
    <w:p>
      <w:pPr>
        <w:numPr>
          <w:ilvl w:val="0"/>
          <w:numId w:val="3"/>
        </w:numPr>
        <w:ind w:firstLine="645"/>
        <w:rPr>
          <w:rFonts w:ascii="仿宋_GB2312" w:eastAsia="仿宋_GB2312"/>
          <w:bCs/>
          <w:sz w:val="32"/>
          <w:szCs w:val="32"/>
        </w:rPr>
      </w:pPr>
      <w:r>
        <w:rPr>
          <w:rFonts w:hint="eastAsia" w:ascii="仿宋_GB2312" w:eastAsia="仿宋_GB2312"/>
          <w:bCs/>
          <w:sz w:val="32"/>
          <w:szCs w:val="32"/>
        </w:rPr>
        <w:t>其他收入：指除上述“财政拨款收入”、“事业收入”、“经营收入”等以外的收入。</w:t>
      </w:r>
    </w:p>
    <w:p>
      <w:pPr>
        <w:numPr>
          <w:ilvl w:val="0"/>
          <w:numId w:val="3"/>
        </w:numPr>
        <w:ind w:firstLine="645"/>
        <w:rPr>
          <w:rFonts w:ascii="仿宋_GB2312" w:eastAsia="仿宋_GB2312"/>
          <w:bCs/>
          <w:sz w:val="32"/>
          <w:szCs w:val="32"/>
        </w:rPr>
      </w:pPr>
      <w:r>
        <w:rPr>
          <w:rFonts w:hint="eastAsia" w:ascii="仿宋_GB2312" w:eastAsia="仿宋_GB2312"/>
          <w:bCs/>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numPr>
          <w:ilvl w:val="0"/>
          <w:numId w:val="3"/>
        </w:numPr>
        <w:ind w:firstLine="645"/>
        <w:rPr>
          <w:rFonts w:ascii="仿宋_GB2312" w:eastAsia="仿宋_GB2312"/>
          <w:bCs/>
          <w:sz w:val="32"/>
          <w:szCs w:val="32"/>
        </w:rPr>
      </w:pPr>
      <w:r>
        <w:rPr>
          <w:rFonts w:hint="eastAsia" w:ascii="仿宋_GB2312" w:eastAsia="仿宋_GB2312"/>
          <w:bCs/>
          <w:sz w:val="32"/>
          <w:szCs w:val="32"/>
        </w:rPr>
        <w:t>年初结转和结余：指以前年度尚未完成、结转到本年按规定继续使用的资金。</w:t>
      </w:r>
    </w:p>
    <w:p>
      <w:pPr>
        <w:numPr>
          <w:ilvl w:val="0"/>
          <w:numId w:val="3"/>
        </w:numPr>
        <w:ind w:firstLine="645"/>
        <w:rPr>
          <w:rFonts w:ascii="仿宋_GB2312" w:eastAsia="仿宋_GB2312"/>
          <w:bCs/>
          <w:sz w:val="32"/>
          <w:szCs w:val="32"/>
        </w:rPr>
      </w:pPr>
      <w:r>
        <w:rPr>
          <w:rFonts w:hint="eastAsia" w:ascii="仿宋_GB2312" w:eastAsia="仿宋_GB2312"/>
          <w:bCs/>
          <w:sz w:val="32"/>
          <w:szCs w:val="32"/>
        </w:rPr>
        <w:t>结余分配：指事业单位按规定提取的职工福利基金、事业基金和缴纳的所得税，以及建设单位按规定应交回的基本建设竣工项目结余资金。</w:t>
      </w:r>
    </w:p>
    <w:p>
      <w:pPr>
        <w:numPr>
          <w:ilvl w:val="0"/>
          <w:numId w:val="3"/>
        </w:numPr>
        <w:ind w:firstLine="645"/>
        <w:rPr>
          <w:rFonts w:ascii="仿宋_GB2312" w:eastAsia="仿宋_GB2312"/>
          <w:bCs/>
          <w:sz w:val="32"/>
          <w:szCs w:val="32"/>
        </w:rPr>
      </w:pPr>
      <w:r>
        <w:rPr>
          <w:rFonts w:hint="eastAsia" w:ascii="仿宋_GB2312" w:eastAsia="仿宋_GB2312"/>
          <w:bCs/>
          <w:sz w:val="32"/>
          <w:szCs w:val="32"/>
        </w:rPr>
        <w:t>年末结转和结余：指本年度或以前年度预算安排、因客观条件发生变化无法按原计划实施，需延迟到以后年度按有关规定继续使用的资金。</w:t>
      </w:r>
    </w:p>
    <w:p>
      <w:pPr>
        <w:numPr>
          <w:ilvl w:val="0"/>
          <w:numId w:val="3"/>
        </w:numPr>
        <w:ind w:firstLine="645"/>
        <w:rPr>
          <w:rFonts w:ascii="仿宋_GB2312" w:eastAsia="仿宋_GB2312"/>
          <w:bCs/>
          <w:sz w:val="32"/>
          <w:szCs w:val="32"/>
        </w:rPr>
      </w:pPr>
      <w:r>
        <w:rPr>
          <w:rFonts w:hint="eastAsia" w:ascii="仿宋_GB2312" w:eastAsia="仿宋_GB2312"/>
          <w:bCs/>
          <w:sz w:val="32"/>
          <w:szCs w:val="32"/>
        </w:rPr>
        <w:t>基本支出：指为保障机构正常运转、完成日常工作任务而发生的人员支出和公用支出。</w:t>
      </w:r>
    </w:p>
    <w:p>
      <w:pPr>
        <w:numPr>
          <w:ilvl w:val="0"/>
          <w:numId w:val="3"/>
        </w:numPr>
        <w:ind w:firstLine="645"/>
        <w:rPr>
          <w:rFonts w:ascii="仿宋_GB2312" w:eastAsia="仿宋_GB2312"/>
          <w:bCs/>
          <w:sz w:val="32"/>
          <w:szCs w:val="32"/>
        </w:rPr>
      </w:pPr>
      <w:r>
        <w:rPr>
          <w:rFonts w:hint="eastAsia" w:ascii="仿宋_GB2312" w:eastAsia="仿宋_GB2312"/>
          <w:bCs/>
          <w:sz w:val="32"/>
          <w:szCs w:val="32"/>
        </w:rPr>
        <w:t>项目支出：指在基本支出之外为完成特定行政任务和事业发展目标所发生的支出。</w:t>
      </w:r>
    </w:p>
    <w:p>
      <w:pPr>
        <w:numPr>
          <w:ilvl w:val="0"/>
          <w:numId w:val="3"/>
        </w:numPr>
        <w:ind w:firstLine="645"/>
        <w:rPr>
          <w:rFonts w:ascii="仿宋_GB2312" w:eastAsia="仿宋_GB2312"/>
          <w:bCs/>
          <w:sz w:val="32"/>
          <w:szCs w:val="32"/>
        </w:rPr>
      </w:pPr>
      <w:r>
        <w:rPr>
          <w:rFonts w:hint="eastAsia" w:ascii="仿宋_GB2312" w:eastAsia="仿宋_GB2312"/>
          <w:bCs/>
          <w:sz w:val="32"/>
          <w:szCs w:val="32"/>
        </w:rPr>
        <w:t>经营支出：指事业单位在专业业务活动及其辅助活动之外开展非独立核算经营活动发生的支出。</w:t>
      </w:r>
    </w:p>
    <w:p>
      <w:pPr>
        <w:numPr>
          <w:ilvl w:val="0"/>
          <w:numId w:val="3"/>
        </w:numPr>
        <w:ind w:firstLine="645"/>
        <w:rPr>
          <w:rFonts w:ascii="仿宋_GB2312" w:eastAsia="仿宋_GB2312"/>
          <w:bCs/>
          <w:sz w:val="32"/>
          <w:szCs w:val="32"/>
        </w:rPr>
      </w:pPr>
      <w:r>
        <w:rPr>
          <w:rFonts w:hint="eastAsia" w:ascii="仿宋_GB2312" w:eastAsia="仿宋_GB2312"/>
          <w:bCs/>
          <w:sz w:val="32"/>
          <w:szCs w:val="32"/>
        </w:rPr>
        <w:t>“三公”经费：纳入市本级财政预决算管理的“三公”经费，是指市本级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numPr>
          <w:ilvl w:val="0"/>
          <w:numId w:val="3"/>
        </w:numPr>
        <w:ind w:firstLine="645"/>
        <w:rPr>
          <w:rFonts w:ascii="仿宋_GB2312" w:eastAsia="仿宋_GB2312"/>
          <w:bCs/>
          <w:sz w:val="32"/>
          <w:szCs w:val="32"/>
        </w:rPr>
      </w:pPr>
      <w:r>
        <w:rPr>
          <w:rFonts w:hint="eastAsia" w:ascii="仿宋_GB2312" w:eastAsia="仿宋_GB2312"/>
          <w:bCs/>
          <w:sz w:val="32"/>
          <w:szCs w:val="32"/>
        </w:rPr>
        <w:t>机关运行经费：为保障行政单位（含参照公务员法管理的事业）运行用于购买货物和服务的各项资金，包括办公及印刷费、邮电费、差旅费、会议费、福利费、日常维修费、专用材料及一般设备购置费、办公用房物业管理费、公务用车运行维护费以及其他费用。</w:t>
      </w:r>
    </w:p>
    <w:p>
      <w:pPr>
        <w:rPr>
          <w:rFonts w:ascii="仿宋_GB2312" w:eastAsia="仿宋_GB2312"/>
          <w:bCs/>
          <w:sz w:val="32"/>
          <w:szCs w:val="32"/>
        </w:rPr>
      </w:pPr>
    </w:p>
    <w:p>
      <w:pPr>
        <w:rPr>
          <w:rFonts w:ascii="仿宋_GB2312" w:eastAsia="仿宋_GB2312"/>
          <w:bCs/>
          <w:sz w:val="32"/>
          <w:szCs w:val="32"/>
        </w:rPr>
      </w:pPr>
    </w:p>
    <w:p>
      <w:pPr>
        <w:autoSpaceDE w:val="0"/>
        <w:autoSpaceDN w:val="0"/>
        <w:adjustRightInd w:val="0"/>
        <w:spacing w:line="560" w:lineRule="exact"/>
        <w:ind w:firstLine="627" w:firstLineChars="196"/>
        <w:jc w:val="left"/>
        <w:rPr>
          <w:rFonts w:ascii="仿宋_GB2312" w:eastAsia="仿宋_GB2312" w:cs="仿宋_GB2312"/>
          <w:kern w:val="0"/>
          <w:sz w:val="32"/>
          <w:szCs w:val="32"/>
        </w:rPr>
      </w:pPr>
      <w:r>
        <w:rPr>
          <w:rFonts w:hint="eastAsia" w:ascii="仿宋_GB2312" w:eastAsia="仿宋_GB2312" w:cs="仿宋_GB2312"/>
          <w:kern w:val="0"/>
          <w:sz w:val="32"/>
          <w:szCs w:val="32"/>
        </w:rPr>
        <w:t>附件：1.2020年度决算公开报表</w:t>
      </w:r>
    </w:p>
    <w:p>
      <w:pPr>
        <w:autoSpaceDE w:val="0"/>
        <w:autoSpaceDN w:val="0"/>
        <w:adjustRightInd w:val="0"/>
        <w:spacing w:line="560" w:lineRule="exact"/>
        <w:ind w:left="1608" w:leftChars="760" w:hanging="12" w:hangingChars="4"/>
        <w:jc w:val="left"/>
        <w:rPr>
          <w:rFonts w:ascii="仿宋_GB2312" w:eastAsia="仿宋_GB2312" w:cs="仿宋_GB2312"/>
          <w:kern w:val="0"/>
          <w:sz w:val="32"/>
          <w:szCs w:val="32"/>
        </w:rPr>
      </w:pPr>
      <w:r>
        <w:rPr>
          <w:rFonts w:hint="eastAsia" w:ascii="仿宋_GB2312" w:eastAsia="仿宋_GB2312" w:cs="仿宋_GB2312"/>
          <w:kern w:val="0"/>
          <w:sz w:val="32"/>
          <w:szCs w:val="32"/>
        </w:rPr>
        <w:t>2.2020年度柳州市民政局两项残疾人补贴和特困补助项目支出绩效自评表</w:t>
      </w:r>
    </w:p>
    <w:p/>
    <w:sectPr>
      <w:headerReference r:id="rId3" w:type="default"/>
      <w:footerReference r:id="rId4" w:type="default"/>
      <w:pgSz w:w="11906" w:h="16838"/>
      <w:pgMar w:top="1440" w:right="1797" w:bottom="1440" w:left="179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ArialUnicodeMS">
    <w:altName w:val="宋体"/>
    <w:panose1 w:val="00000000000000000000"/>
    <w:charset w:val="86"/>
    <w:family w:val="auto"/>
    <w:pitch w:val="default"/>
    <w:sig w:usb0="00000000" w:usb1="00000000" w:usb2="0000001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sz w:val="30"/>
        <w:szCs w:val="30"/>
      </w:rPr>
    </w:pPr>
    <w:r>
      <w:rPr>
        <w:sz w:val="30"/>
        <w:szCs w:val="30"/>
      </w:rPr>
      <w:fldChar w:fldCharType="begin"/>
    </w:r>
    <w:r>
      <w:rPr>
        <w:rStyle w:val="6"/>
        <w:sz w:val="30"/>
        <w:szCs w:val="30"/>
      </w:rPr>
      <w:instrText xml:space="preserve">PAGE  </w:instrText>
    </w:r>
    <w:r>
      <w:rPr>
        <w:sz w:val="30"/>
        <w:szCs w:val="30"/>
      </w:rPr>
      <w:fldChar w:fldCharType="separate"/>
    </w:r>
    <w:r>
      <w:rPr>
        <w:rStyle w:val="6"/>
        <w:sz w:val="30"/>
        <w:szCs w:val="30"/>
      </w:rPr>
      <w:t>- 13 -</w:t>
    </w:r>
    <w:r>
      <w:rPr>
        <w:sz w:val="30"/>
        <w:szCs w:val="30"/>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E06CE2"/>
    <w:multiLevelType w:val="singleLevel"/>
    <w:tmpl w:val="98E06CE2"/>
    <w:lvl w:ilvl="0" w:tentative="0">
      <w:start w:val="9"/>
      <w:numFmt w:val="chineseCounting"/>
      <w:suff w:val="nothing"/>
      <w:lvlText w:val="%1、"/>
      <w:lvlJc w:val="left"/>
      <w:rPr>
        <w:rFonts w:hint="eastAsia"/>
      </w:rPr>
    </w:lvl>
  </w:abstractNum>
  <w:abstractNum w:abstractNumId="1">
    <w:nsid w:val="5B3C894F"/>
    <w:multiLevelType w:val="singleLevel"/>
    <w:tmpl w:val="5B3C894F"/>
    <w:lvl w:ilvl="0" w:tentative="0">
      <w:start w:val="1"/>
      <w:numFmt w:val="chineseCounting"/>
      <w:suff w:val="nothing"/>
      <w:lvlText w:val="（%1）"/>
      <w:lvlJc w:val="left"/>
    </w:lvl>
  </w:abstractNum>
  <w:abstractNum w:abstractNumId="2">
    <w:nsid w:val="5B3C8BA7"/>
    <w:multiLevelType w:val="singleLevel"/>
    <w:tmpl w:val="5B3C8BA7"/>
    <w:lvl w:ilvl="0" w:tentative="0">
      <w:start w:val="1"/>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256E3D"/>
    <w:rsid w:val="00066CA3"/>
    <w:rsid w:val="001C400B"/>
    <w:rsid w:val="0062464A"/>
    <w:rsid w:val="006C1367"/>
    <w:rsid w:val="00715385"/>
    <w:rsid w:val="00975D4E"/>
    <w:rsid w:val="00F66C5B"/>
    <w:rsid w:val="09617C18"/>
    <w:rsid w:val="0C435240"/>
    <w:rsid w:val="0C585F1A"/>
    <w:rsid w:val="0CB65929"/>
    <w:rsid w:val="0E074DDF"/>
    <w:rsid w:val="0E804850"/>
    <w:rsid w:val="124204B5"/>
    <w:rsid w:val="157E4D03"/>
    <w:rsid w:val="17E46BA4"/>
    <w:rsid w:val="182962AB"/>
    <w:rsid w:val="185D28B5"/>
    <w:rsid w:val="19D073EB"/>
    <w:rsid w:val="1BDC35F1"/>
    <w:rsid w:val="1CC31F67"/>
    <w:rsid w:val="1CDC55A5"/>
    <w:rsid w:val="207B073C"/>
    <w:rsid w:val="2494767B"/>
    <w:rsid w:val="24D337DC"/>
    <w:rsid w:val="26460DBA"/>
    <w:rsid w:val="26F13632"/>
    <w:rsid w:val="27425F33"/>
    <w:rsid w:val="27A95686"/>
    <w:rsid w:val="2B6F74EB"/>
    <w:rsid w:val="2C4219FE"/>
    <w:rsid w:val="2DE30186"/>
    <w:rsid w:val="2F5E3AB5"/>
    <w:rsid w:val="313B05E1"/>
    <w:rsid w:val="34020F86"/>
    <w:rsid w:val="351544C3"/>
    <w:rsid w:val="39A63F06"/>
    <w:rsid w:val="3A754C5E"/>
    <w:rsid w:val="3ED1439F"/>
    <w:rsid w:val="3EFF538C"/>
    <w:rsid w:val="403977E9"/>
    <w:rsid w:val="48374EDC"/>
    <w:rsid w:val="49226441"/>
    <w:rsid w:val="4B5E56A0"/>
    <w:rsid w:val="4BEF6D91"/>
    <w:rsid w:val="4C256E3D"/>
    <w:rsid w:val="4CB52F0F"/>
    <w:rsid w:val="4D134BA2"/>
    <w:rsid w:val="4ECD60CE"/>
    <w:rsid w:val="508000CA"/>
    <w:rsid w:val="532F1F9A"/>
    <w:rsid w:val="53B5699A"/>
    <w:rsid w:val="58A3486B"/>
    <w:rsid w:val="5E995A3E"/>
    <w:rsid w:val="62163194"/>
    <w:rsid w:val="624D024D"/>
    <w:rsid w:val="63775CFD"/>
    <w:rsid w:val="6397497F"/>
    <w:rsid w:val="650E086A"/>
    <w:rsid w:val="69B44F51"/>
    <w:rsid w:val="69B474BC"/>
    <w:rsid w:val="6BAA0708"/>
    <w:rsid w:val="6C9F6C1F"/>
    <w:rsid w:val="6DCE2527"/>
    <w:rsid w:val="770D2422"/>
    <w:rsid w:val="779547A3"/>
    <w:rsid w:val="77AC12B7"/>
    <w:rsid w:val="7845703B"/>
    <w:rsid w:val="79306262"/>
    <w:rsid w:val="7C202E34"/>
    <w:rsid w:val="7E1A64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8"/>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customStyle="1" w:styleId="8">
    <w:name w:val="批注框文本 字符"/>
    <w:basedOn w:val="5"/>
    <w:link w:val="2"/>
    <w:qFormat/>
    <w:uiPriority w:val="0"/>
    <w:rPr>
      <w:kern w:val="2"/>
      <w:sz w:val="18"/>
      <w:szCs w:val="18"/>
    </w:rPr>
  </w:style>
  <w:style w:type="character" w:customStyle="1" w:styleId="9">
    <w:name w:val="font11"/>
    <w:basedOn w:val="5"/>
    <w:qFormat/>
    <w:uiPriority w:val="0"/>
    <w:rPr>
      <w:rFonts w:hint="eastAsia" w:ascii="宋体" w:hAnsi="宋体" w:eastAsia="宋体" w:cs="宋体"/>
      <w:color w:val="000000"/>
      <w:sz w:val="22"/>
      <w:szCs w:val="22"/>
      <w:u w:val="none"/>
    </w:rPr>
  </w:style>
  <w:style w:type="character" w:customStyle="1" w:styleId="10">
    <w:name w:val="font01"/>
    <w:basedOn w:val="5"/>
    <w:qFormat/>
    <w:uiPriority w:val="0"/>
    <w:rPr>
      <w:rFonts w:hint="eastAsia" w:ascii="宋体" w:hAnsi="宋体" w:eastAsia="宋体" w:cs="宋体"/>
      <w:color w:val="000000"/>
      <w:sz w:val="24"/>
      <w:szCs w:val="24"/>
      <w:u w:val="none"/>
    </w:rPr>
  </w:style>
  <w:style w:type="paragraph" w:customStyle="1" w:styleId="11">
    <w:name w:val="正文A"/>
    <w:basedOn w:val="1"/>
    <w:qFormat/>
    <w:uiPriority w:val="0"/>
    <w:pPr>
      <w:ind w:left="210" w:leftChars="100" w:right="100" w:rightChars="100"/>
    </w:pPr>
    <w:rPr>
      <w:rFonts w:ascii="微软雅黑" w:hAnsi="微软雅黑" w:eastAsia="微软雅黑"/>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21</Pages>
  <Words>1594</Words>
  <Characters>9092</Characters>
  <Lines>75</Lines>
  <Paragraphs>21</Paragraphs>
  <TotalTime>54</TotalTime>
  <ScaleCrop>false</ScaleCrop>
  <LinksUpToDate>false</LinksUpToDate>
  <CharactersWithSpaces>10665</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2020-07-15T08:43:00Z</dcterms:created>
  <dc:creator>陈冬雪</dc:creator>
  <cp:lastModifiedBy>User</cp:lastModifiedBy>
  <cp:lastPrinted>2021-07-07T01:10:00Z</cp:lastPrinted>
  <dcterms:modified xsi:type="dcterms:W3CDTF">2023-05-08T01:43:01Z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328AA43763C5474B8F3D6F11741E7C24</vt:lpwstr>
  </property>
</Properties>
</file>