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公墓管理处</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w:t>
      </w:r>
      <w:r>
        <w:rPr>
          <w:rFonts w:hint="eastAsia" w:ascii="仿宋_GB2312" w:hAnsi="黑体" w:eastAsia="仿宋_GB2312"/>
          <w:b/>
          <w:bCs/>
          <w:color w:val="000000"/>
          <w:sz w:val="32"/>
          <w:szCs w:val="32"/>
          <w:lang w:eastAsia="zh-CN"/>
        </w:rPr>
        <w:t>公墓管理处</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柳州市公墓管理处</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highlight w:val="none"/>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highlight w:val="none"/>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none"/>
          <w:lang w:eastAsia="zh-CN"/>
        </w:rPr>
        <w:t>柳州市公墓管理处</w:t>
      </w:r>
      <w:r>
        <w:rPr>
          <w:rFonts w:hint="eastAsia" w:ascii="仿宋_GB2312" w:eastAsia="仿宋_GB2312"/>
          <w:b/>
          <w:sz w:val="32"/>
          <w:szCs w:val="32"/>
          <w:highlight w:val="none"/>
        </w:rPr>
        <w:t>2020年度</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决算情况说明</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年度收入决算情况。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kern w:val="0"/>
          <w:sz w:val="32"/>
          <w:szCs w:val="32"/>
          <w:highlight w:val="none"/>
        </w:rPr>
        <w:t>八、</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lang w:eastAsia="zh-CN"/>
        </w:rPr>
        <w:t>十、</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bCs/>
          <w:kern w:val="0"/>
          <w:sz w:val="32"/>
          <w:szCs w:val="32"/>
          <w:highlight w:val="none"/>
        </w:rPr>
        <w:t>十</w:t>
      </w:r>
      <w:r>
        <w:rPr>
          <w:rFonts w:hint="eastAsia" w:ascii="仿宋_GB2312" w:eastAsia="仿宋_GB2312" w:cs="仿宋_GB2312"/>
          <w:bCs/>
          <w:kern w:val="0"/>
          <w:sz w:val="32"/>
          <w:szCs w:val="32"/>
          <w:highlight w:val="none"/>
          <w:lang w:eastAsia="zh-CN"/>
        </w:rPr>
        <w:t>一</w:t>
      </w:r>
      <w:r>
        <w:rPr>
          <w:rFonts w:hint="eastAsia" w:ascii="仿宋_GB2312" w:eastAsia="仿宋_GB2312" w:cs="仿宋_GB2312"/>
          <w:bCs/>
          <w:kern w:val="0"/>
          <w:sz w:val="32"/>
          <w:szCs w:val="32"/>
          <w:highlight w:val="none"/>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柳州市公墓管理处</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楷体_GB2312" w:hAnsi="华文仿宋" w:eastAsia="楷体_GB2312" w:cs="宋体"/>
          <w:b w:val="0"/>
          <w:bCs/>
          <w:color w:val="000000"/>
          <w:kern w:val="0"/>
          <w:sz w:val="32"/>
          <w:szCs w:val="32"/>
          <w:lang w:val="en-US" w:eastAsia="zh-CN" w:bidi="ar-SA"/>
        </w:rPr>
      </w:pPr>
      <w:r>
        <w:rPr>
          <w:rFonts w:hint="eastAsia" w:ascii="楷体_GB2312" w:hAnsi="华文仿宋" w:eastAsia="楷体_GB2312" w:cs="宋体"/>
          <w:b w:val="0"/>
          <w:bCs/>
          <w:color w:val="000000"/>
          <w:kern w:val="0"/>
          <w:sz w:val="32"/>
          <w:szCs w:val="32"/>
          <w:lang w:val="en-US" w:eastAsia="zh-CN" w:bidi="ar-SA"/>
        </w:rPr>
        <w:t>（一）贯彻殡葬管理相关政策法规，落实殡葬改革任务。</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楷体_GB2312" w:hAnsi="华文仿宋" w:eastAsia="楷体_GB2312" w:cs="宋体"/>
          <w:b w:val="0"/>
          <w:bCs/>
          <w:color w:val="000000"/>
          <w:kern w:val="0"/>
          <w:sz w:val="32"/>
          <w:szCs w:val="32"/>
          <w:lang w:val="en-US" w:eastAsia="zh-CN" w:bidi="ar-SA"/>
        </w:rPr>
      </w:pPr>
      <w:r>
        <w:rPr>
          <w:rFonts w:hint="eastAsia" w:ascii="楷体_GB2312" w:hAnsi="华文仿宋" w:eastAsia="楷体_GB2312" w:cs="宋体"/>
          <w:b w:val="0"/>
          <w:bCs/>
          <w:color w:val="000000"/>
          <w:kern w:val="0"/>
          <w:sz w:val="32"/>
          <w:szCs w:val="32"/>
          <w:lang w:val="en-US" w:eastAsia="zh-CN" w:bidi="ar-SA"/>
        </w:rPr>
        <w:t>（二）负责提供骨灰墓穴安葬和殡葬用品服务。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楷体_GB2312" w:hAnsi="华文仿宋" w:eastAsia="楷体_GB2312" w:cs="宋体"/>
          <w:b w:val="0"/>
          <w:bCs/>
          <w:color w:val="000000"/>
          <w:kern w:val="0"/>
          <w:sz w:val="32"/>
          <w:szCs w:val="32"/>
          <w:lang w:val="en-US" w:eastAsia="zh-CN" w:bidi="ar-SA"/>
        </w:rPr>
      </w:pPr>
      <w:r>
        <w:rPr>
          <w:rFonts w:hint="eastAsia" w:ascii="楷体_GB2312" w:hAnsi="华文仿宋" w:eastAsia="楷体_GB2312" w:cs="宋体"/>
          <w:b w:val="0"/>
          <w:bCs/>
          <w:color w:val="000000"/>
          <w:kern w:val="0"/>
          <w:sz w:val="32"/>
          <w:szCs w:val="32"/>
          <w:lang w:val="en-US" w:eastAsia="zh-CN" w:bidi="ar-SA"/>
        </w:rPr>
        <w:t>（三）负责公墓规划编制、设施建设与管理维护。</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楷体_GB2312" w:hAnsi="华文仿宋" w:eastAsia="楷体_GB2312" w:cs="宋体"/>
          <w:b w:val="0"/>
          <w:bCs/>
          <w:color w:val="000000"/>
          <w:kern w:val="0"/>
          <w:sz w:val="32"/>
          <w:szCs w:val="32"/>
          <w:lang w:val="en-US" w:eastAsia="zh-CN" w:bidi="ar-SA"/>
        </w:rPr>
      </w:pPr>
      <w:r>
        <w:rPr>
          <w:rFonts w:hint="eastAsia" w:ascii="楷体_GB2312" w:hAnsi="华文仿宋" w:eastAsia="楷体_GB2312" w:cs="宋体"/>
          <w:b w:val="0"/>
          <w:bCs/>
          <w:color w:val="000000"/>
          <w:kern w:val="0"/>
          <w:sz w:val="32"/>
          <w:szCs w:val="32"/>
          <w:lang w:val="en-US" w:eastAsia="zh-CN" w:bidi="ar-SA"/>
        </w:rPr>
        <w:t>（四）完成主管部门交办的其他任务。</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both"/>
        <w:textAlignment w:val="auto"/>
        <w:outlineLvl w:val="9"/>
        <w:rPr>
          <w:rFonts w:hint="default" w:ascii="仿宋_GB2312" w:hAnsi="华文仿宋" w:eastAsia="仿宋_GB2312"/>
          <w:b w:val="0"/>
          <w:bCs w:val="0"/>
          <w:color w:val="000000"/>
          <w:sz w:val="32"/>
          <w:szCs w:val="32"/>
          <w:lang w:val="en-US" w:eastAsia="zh-CN"/>
        </w:rPr>
      </w:pPr>
      <w:r>
        <w:rPr>
          <w:rFonts w:hint="eastAsia"/>
          <w:lang w:val="en-US" w:eastAsia="zh-CN"/>
        </w:rPr>
        <w:t xml:space="preserve">     </w:t>
      </w:r>
      <w:r>
        <w:rPr>
          <w:rFonts w:hint="eastAsia" w:ascii="仿宋_GB2312" w:hAnsi="华文仿宋" w:eastAsia="仿宋_GB2312"/>
          <w:b w:val="0"/>
          <w:bCs w:val="0"/>
          <w:color w:val="000000"/>
          <w:sz w:val="32"/>
          <w:szCs w:val="32"/>
          <w:lang w:val="en-US" w:eastAsia="zh-CN"/>
        </w:rPr>
        <w:t>柳州市公墓管理处为民政局管理的正科级公益二类自收自支事业单位，事业编制25名。单位设置6科室，分别为办公室、业务科、基建科、财务科、内保科、宣教科。</w:t>
      </w:r>
    </w:p>
    <w:p>
      <w:pPr>
        <w:jc w:val="left"/>
        <w:rPr>
          <w:rFonts w:hint="default" w:eastAsia="宋体"/>
          <w:lang w:val="en-US" w:eastAsia="zh-CN"/>
        </w:rPr>
      </w:pPr>
    </w:p>
    <w:p>
      <w:pPr>
        <w:jc w:val="both"/>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柳州市公墓管理处</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rPr>
          <w:rFonts w:hint="eastAsia" w:ascii="仿宋_GB2312" w:hAnsi="黑体" w:eastAsia="仿宋_GB2312"/>
          <w:sz w:val="32"/>
          <w:szCs w:val="32"/>
          <w:lang w:eastAsia="zh-CN"/>
        </w:rPr>
      </w:pPr>
      <w:r>
        <w:rPr>
          <w:rFonts w:hint="eastAsia" w:ascii="仿宋_GB2312" w:hAnsi="黑体" w:eastAsia="仿宋_GB2312"/>
          <w:sz w:val="32"/>
          <w:szCs w:val="32"/>
          <w:lang w:eastAsia="zh-CN"/>
        </w:rPr>
        <w:t>（详见附件）</w:t>
      </w:r>
    </w:p>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柳州市公墓管理处</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hAnsi="仿宋" w:eastAsia="仿宋_GB2312"/>
          <w:color w:val="auto"/>
          <w:sz w:val="32"/>
          <w:szCs w:val="32"/>
          <w:lang w:eastAsia="zh-CN"/>
        </w:rPr>
        <w:t>2020年度收入总计</w:t>
      </w:r>
      <w:r>
        <w:rPr>
          <w:rFonts w:hint="eastAsia" w:ascii="仿宋_GB2312" w:hAnsi="仿宋" w:eastAsia="仿宋_GB2312"/>
          <w:color w:val="auto"/>
          <w:sz w:val="32"/>
          <w:szCs w:val="32"/>
          <w:lang w:val="en-US" w:eastAsia="zh-CN"/>
        </w:rPr>
        <w:t>4637.85</w:t>
      </w:r>
      <w:r>
        <w:rPr>
          <w:rFonts w:hint="eastAsia" w:ascii="仿宋_GB2312" w:hAnsi="仿宋" w:eastAsia="仿宋_GB2312"/>
          <w:color w:val="auto"/>
          <w:sz w:val="32"/>
          <w:szCs w:val="32"/>
          <w:lang w:eastAsia="zh-CN"/>
        </w:rPr>
        <w:t>万元，支出总计</w:t>
      </w:r>
      <w:r>
        <w:rPr>
          <w:rFonts w:hint="eastAsia" w:ascii="仿宋_GB2312" w:hAnsi="仿宋" w:eastAsia="仿宋_GB2312"/>
          <w:color w:val="auto"/>
          <w:sz w:val="32"/>
          <w:szCs w:val="32"/>
          <w:lang w:val="en-US" w:eastAsia="zh-CN"/>
        </w:rPr>
        <w:t>4637.85</w:t>
      </w:r>
      <w:r>
        <w:rPr>
          <w:rFonts w:hint="eastAsia" w:ascii="仿宋_GB2312" w:hAnsi="仿宋" w:eastAsia="仿宋_GB2312"/>
          <w:color w:val="auto"/>
          <w:sz w:val="32"/>
          <w:szCs w:val="32"/>
          <w:lang w:eastAsia="zh-CN"/>
        </w:rPr>
        <w:t>万元，与2019年相比，收、支减少</w:t>
      </w:r>
      <w:r>
        <w:rPr>
          <w:rFonts w:hint="eastAsia" w:ascii="仿宋_GB2312" w:hAnsi="仿宋" w:eastAsia="仿宋_GB2312"/>
          <w:color w:val="auto"/>
          <w:sz w:val="32"/>
          <w:szCs w:val="32"/>
          <w:lang w:val="en-US" w:eastAsia="zh-CN"/>
        </w:rPr>
        <w:t>559.86</w:t>
      </w:r>
      <w:r>
        <w:rPr>
          <w:rFonts w:hint="eastAsia" w:ascii="仿宋_GB2312" w:hAnsi="仿宋" w:eastAsia="仿宋_GB2312"/>
          <w:color w:val="auto"/>
          <w:sz w:val="32"/>
          <w:szCs w:val="32"/>
          <w:lang w:eastAsia="zh-CN"/>
        </w:rPr>
        <w:t>万元，减少</w:t>
      </w:r>
      <w:r>
        <w:rPr>
          <w:rFonts w:hint="eastAsia" w:ascii="仿宋_GB2312" w:hAnsi="仿宋" w:eastAsia="仿宋_GB2312"/>
          <w:color w:val="auto"/>
          <w:sz w:val="32"/>
          <w:szCs w:val="32"/>
          <w:lang w:val="en-US" w:eastAsia="zh-CN"/>
        </w:rPr>
        <w:t>11%。</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2,964.04</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olor w:val="auto"/>
          <w:sz w:val="32"/>
          <w:szCs w:val="32"/>
          <w:lang w:val="en-US" w:eastAsia="zh-CN"/>
        </w:rPr>
        <w:t>2,948.02</w:t>
      </w:r>
      <w:r>
        <w:rPr>
          <w:rFonts w:hint="eastAsia" w:ascii="仿宋_GB2312" w:eastAsia="仿宋_GB2312"/>
          <w:color w:val="auto"/>
          <w:sz w:val="32"/>
          <w:szCs w:val="32"/>
        </w:rPr>
        <w:t>万元</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99</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olor w:val="auto"/>
          <w:sz w:val="32"/>
          <w:szCs w:val="32"/>
          <w:lang w:val="en-US" w:eastAsia="zh-CN"/>
        </w:rPr>
        <w:t>0</w:t>
      </w:r>
      <w:r>
        <w:rPr>
          <w:rFonts w:hint="eastAsia" w:ascii="仿宋_GB2312" w:eastAsia="仿宋_GB2312" w:cs="仿宋_GB2312"/>
          <w:b w:val="0"/>
          <w:bCs/>
          <w:kern w:val="0"/>
          <w:sz w:val="32"/>
          <w:szCs w:val="32"/>
          <w:lang w:val="en-US" w:eastAsia="zh-CN"/>
        </w:rPr>
        <w:t>万元；占比0%；</w:t>
      </w:r>
      <w:r>
        <w:rPr>
          <w:rFonts w:hint="eastAsia" w:ascii="仿宋_GB2312" w:eastAsia="仿宋_GB2312" w:cs="仿宋_GB2312"/>
          <w:b w:val="0"/>
          <w:bCs/>
          <w:kern w:val="0"/>
          <w:sz w:val="32"/>
          <w:szCs w:val="32"/>
        </w:rPr>
        <w:t>上级补助收入</w:t>
      </w:r>
      <w:r>
        <w:rPr>
          <w:rFonts w:hint="eastAsia" w:ascii="仿宋_GB2312" w:eastAsia="仿宋_GB2312"/>
          <w:color w:val="auto"/>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；事业收入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16.02</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w:t>
      </w:r>
      <w:r>
        <w:rPr>
          <w:rFonts w:hint="eastAsia" w:ascii="仿宋_GB2312" w:eastAsia="仿宋_GB2312" w:cs="仿宋_GB2312"/>
          <w:b w:val="0"/>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2,398.29</w:t>
      </w:r>
      <w:r>
        <w:rPr>
          <w:rFonts w:hint="eastAsia" w:ascii="仿宋_GB2312" w:eastAsia="仿宋_GB2312" w:cs="仿宋_GB2312"/>
          <w:bCs/>
          <w:kern w:val="0"/>
          <w:sz w:val="32"/>
          <w:szCs w:val="32"/>
        </w:rPr>
        <w:t>万元，其中：基本支出</w:t>
      </w:r>
      <w:r>
        <w:rPr>
          <w:rFonts w:hint="eastAsia" w:ascii="仿宋_GB2312" w:eastAsia="仿宋_GB2312"/>
          <w:color w:val="auto"/>
          <w:sz w:val="32"/>
          <w:szCs w:val="32"/>
          <w:lang w:val="en-US" w:eastAsia="zh-CN"/>
        </w:rPr>
        <w:t>172.98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%；项目支出</w:t>
      </w:r>
      <w:r>
        <w:rPr>
          <w:rFonts w:hint="eastAsia" w:ascii="仿宋_GB2312" w:eastAsia="仿宋_GB2312"/>
          <w:color w:val="auto"/>
          <w:sz w:val="32"/>
          <w:szCs w:val="32"/>
          <w:lang w:val="en-US" w:eastAsia="zh-CN"/>
        </w:rPr>
        <w:t>2,225.30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93</w:t>
      </w:r>
      <w:r>
        <w:rPr>
          <w:rFonts w:hint="eastAsia" w:ascii="仿宋_GB2312" w:eastAsia="仿宋_GB2312" w:cs="仿宋_GB2312"/>
          <w:bCs/>
          <w:kern w:val="0"/>
          <w:sz w:val="32"/>
          <w:szCs w:val="32"/>
        </w:rPr>
        <w:t>%；经营支出</w:t>
      </w:r>
      <w:r>
        <w:rPr>
          <w:rFonts w:hint="eastAsia" w:ascii="仿宋_GB2312" w:eastAsia="仿宋_GB2312"/>
          <w:color w:val="auto"/>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olor w:val="auto"/>
          <w:sz w:val="32"/>
          <w:szCs w:val="32"/>
        </w:rPr>
        <w:t>对附属单位补助支出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2,948.02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2,398.29</w:t>
      </w:r>
      <w:r>
        <w:rPr>
          <w:rFonts w:hint="eastAsia" w:ascii="仿宋_GB2312" w:eastAsia="仿宋_GB2312" w:cs="仿宋_GB2312"/>
          <w:bCs/>
          <w:kern w:val="0"/>
          <w:sz w:val="32"/>
          <w:szCs w:val="32"/>
        </w:rPr>
        <w:t>万元。与 2019 年相比，财政拨款</w:t>
      </w:r>
      <w:r>
        <w:rPr>
          <w:rFonts w:hint="eastAsia" w:ascii="仿宋_GB2312" w:eastAsia="仿宋_GB2312" w:cs="仿宋_GB2312"/>
          <w:bCs/>
          <w:kern w:val="0"/>
          <w:sz w:val="32"/>
          <w:szCs w:val="32"/>
          <w:lang w:eastAsia="zh-CN"/>
        </w:rPr>
        <w:t>收入</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321.23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10%，支出总计减少558.27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19</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2350.45</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98</w:t>
      </w:r>
      <w:r>
        <w:rPr>
          <w:rFonts w:hint="eastAsia" w:ascii="仿宋_GB2312" w:eastAsia="仿宋_GB2312" w:cs="仿宋_GB2312"/>
          <w:bCs/>
          <w:kern w:val="0"/>
          <w:sz w:val="32"/>
          <w:szCs w:val="32"/>
        </w:rPr>
        <w:t>%。与 2019 年相比，财政拨款支出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581.76</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2350.45</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2,332.03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7.19</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0.49</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11.23</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0.51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47.84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 年度财政拨款支出年初预算为</w:t>
      </w:r>
      <w:r>
        <w:rPr>
          <w:rFonts w:hint="eastAsia" w:ascii="仿宋_GB2312" w:eastAsia="仿宋_GB2312" w:cs="仿宋_GB2312"/>
          <w:bCs/>
          <w:kern w:val="0"/>
          <w:sz w:val="32"/>
          <w:szCs w:val="32"/>
          <w:lang w:val="en-US" w:eastAsia="zh-CN"/>
        </w:rPr>
        <w:t>2,959.77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2350.45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81</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社会福利殡葬中的工程项目未完工资金结余。</w:t>
      </w:r>
      <w:r>
        <w:rPr>
          <w:rFonts w:hint="eastAsia" w:ascii="仿宋_GB2312" w:eastAsia="仿宋_GB2312" w:cs="仿宋_GB2312"/>
          <w:bCs/>
          <w:kern w:val="0"/>
          <w:sz w:val="32"/>
          <w:szCs w:val="32"/>
        </w:rPr>
        <w:t xml:space="preserve">其中：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35"/>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事业单位离退休</w:t>
      </w:r>
      <w:r>
        <w:rPr>
          <w:rFonts w:hint="eastAsia" w:ascii="仿宋_GB2312" w:eastAsia="仿宋_GB2312" w:cs="仿宋_GB2312"/>
          <w:bCs/>
          <w:color w:val="auto"/>
          <w:kern w:val="0"/>
          <w:sz w:val="32"/>
          <w:szCs w:val="32"/>
        </w:rPr>
        <w:t>（项）。 年初预算为</w:t>
      </w:r>
      <w:r>
        <w:rPr>
          <w:rFonts w:hint="eastAsia" w:ascii="仿宋_GB2312" w:eastAsia="仿宋_GB2312" w:cs="仿宋_GB2312"/>
          <w:bCs/>
          <w:color w:val="auto"/>
          <w:kern w:val="0"/>
          <w:sz w:val="32"/>
          <w:szCs w:val="32"/>
          <w:lang w:val="en-US" w:eastAsia="zh-CN"/>
        </w:rPr>
        <w:t>6.17</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6.17</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35"/>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机关事业单位基本养老保险缴费支出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14.97</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14.97</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spacing w:line="560" w:lineRule="exact"/>
        <w:ind w:firstLine="640" w:firstLineChars="200"/>
        <w:rPr>
          <w:rFonts w:ascii="仿宋_GB2312" w:eastAsia="仿宋_GB2312"/>
          <w:color w:val="auto"/>
          <w:sz w:val="28"/>
          <w:szCs w:val="28"/>
        </w:rPr>
      </w:pP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 社会保障和就业支出（类）</w:t>
      </w:r>
      <w:r>
        <w:rPr>
          <w:rFonts w:hint="eastAsia" w:ascii="仿宋_GB2312" w:eastAsia="仿宋_GB2312" w:cs="仿宋_GB2312"/>
          <w:bCs/>
          <w:color w:val="auto"/>
          <w:kern w:val="0"/>
          <w:sz w:val="32"/>
          <w:szCs w:val="32"/>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机关事业单位职业年金缴费支出</w:t>
      </w:r>
      <w:r>
        <w:rPr>
          <w:rFonts w:hint="eastAsia" w:ascii="仿宋_GB2312" w:eastAsia="仿宋_GB2312" w:cs="仿宋_GB2312"/>
          <w:bCs/>
          <w:color w:val="auto"/>
          <w:kern w:val="0"/>
          <w:sz w:val="32"/>
          <w:szCs w:val="32"/>
        </w:rPr>
        <w:t>（项）。年初预算为</w:t>
      </w:r>
      <w:r>
        <w:rPr>
          <w:rFonts w:hint="eastAsia" w:ascii="仿宋_GB2312" w:hAnsi="华文仿宋" w:eastAsia="仿宋_GB2312"/>
          <w:bCs/>
          <w:color w:val="auto"/>
          <w:sz w:val="32"/>
          <w:szCs w:val="32"/>
          <w:lang w:val="en-US" w:eastAsia="zh-CN"/>
        </w:rPr>
        <w:t>7.49</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7.49</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 社会保障和就业支出（类）</w:t>
      </w:r>
      <w:r>
        <w:rPr>
          <w:rFonts w:hint="eastAsia" w:ascii="仿宋_GB2312" w:eastAsia="仿宋_GB2312" w:cs="仿宋_GB2312"/>
          <w:bCs/>
          <w:color w:val="auto"/>
          <w:kern w:val="0"/>
          <w:sz w:val="32"/>
          <w:szCs w:val="32"/>
          <w:lang w:eastAsia="zh-CN"/>
        </w:rPr>
        <w:t>社会福利</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殡葬</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2900.98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2265.20</w:t>
      </w:r>
      <w:bookmarkStart w:id="0" w:name="_GoBack"/>
      <w:bookmarkEnd w:id="0"/>
      <w:r>
        <w:rPr>
          <w:rFonts w:hint="eastAsia" w:ascii="仿宋_GB2312" w:eastAsia="仿宋_GB2312" w:cs="仿宋_GB2312"/>
          <w:bCs/>
          <w:color w:val="auto"/>
          <w:kern w:val="0"/>
          <w:sz w:val="32"/>
          <w:szCs w:val="32"/>
        </w:rPr>
        <w:t>元，完成年初预算的</w:t>
      </w:r>
      <w:r>
        <w:rPr>
          <w:rFonts w:hint="eastAsia" w:ascii="仿宋_GB2312" w:eastAsia="仿宋_GB2312" w:cs="仿宋_GB2312"/>
          <w:bCs/>
          <w:color w:val="auto"/>
          <w:kern w:val="0"/>
          <w:sz w:val="32"/>
          <w:szCs w:val="32"/>
          <w:lang w:val="en-US" w:eastAsia="zh-CN"/>
        </w:rPr>
        <w:t>80</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小于</w:t>
      </w:r>
      <w:r>
        <w:rPr>
          <w:rFonts w:hint="eastAsia" w:ascii="仿宋_GB2312" w:eastAsia="仿宋_GB2312" w:cs="仿宋_GB2312"/>
          <w:bCs/>
          <w:color w:val="auto"/>
          <w:kern w:val="0"/>
          <w:sz w:val="32"/>
          <w:szCs w:val="32"/>
        </w:rPr>
        <w:t>预算数的主要原因是</w:t>
      </w:r>
      <w:r>
        <w:rPr>
          <w:rFonts w:hint="eastAsia" w:ascii="仿宋_GB2312" w:eastAsia="仿宋_GB2312" w:cs="仿宋_GB2312"/>
          <w:bCs/>
          <w:color w:val="auto"/>
          <w:kern w:val="0"/>
          <w:sz w:val="32"/>
          <w:szCs w:val="32"/>
          <w:lang w:val="en-US" w:eastAsia="zh-CN"/>
        </w:rPr>
        <w:t>紫薇苑工程达到500万以上，金额达到限额以上，正在走住建委报批程序，项目尚未能实施；西山公墓北大门广场配套工程、西山公墓骨灰灵堂休息长廊工程、公墓焚烧祭祀廊至后门道路硬化工程、12月石材刻字安葬结算等，按照项目进度支付；</w:t>
      </w:r>
      <w:r>
        <w:rPr>
          <w:rFonts w:hint="eastAsia" w:ascii="仿宋_GB2312" w:eastAsia="仿宋_GB2312" w:cs="仿宋_GB2312"/>
          <w:bCs/>
          <w:color w:val="auto"/>
          <w:kern w:val="0"/>
          <w:sz w:val="32"/>
          <w:szCs w:val="32"/>
          <w:lang w:eastAsia="zh-CN"/>
        </w:rPr>
        <w:t>剩余经费历年结转结余石材费用。</w:t>
      </w:r>
    </w:p>
    <w:p>
      <w:pPr>
        <w:spacing w:line="560" w:lineRule="exact"/>
        <w:ind w:firstLine="640" w:firstLineChars="200"/>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lang w:eastAsia="zh-CN"/>
        </w:rPr>
        <w:t>. 社会保障和就业支出（类）红十字事业（款）其他红十字事业支出（项）。年初预算为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lang w:eastAsia="zh-CN"/>
        </w:rPr>
        <w:t>万元，支出决算为</w:t>
      </w:r>
      <w:r>
        <w:rPr>
          <w:rFonts w:hint="eastAsia" w:ascii="仿宋_GB2312" w:eastAsia="仿宋_GB2312" w:cs="仿宋_GB2312"/>
          <w:bCs/>
          <w:color w:val="auto"/>
          <w:kern w:val="0"/>
          <w:sz w:val="32"/>
          <w:szCs w:val="32"/>
          <w:lang w:val="en-US" w:eastAsia="zh-CN"/>
        </w:rPr>
        <w:t>38.20</w:t>
      </w:r>
      <w:r>
        <w:rPr>
          <w:rFonts w:hint="eastAsia" w:ascii="仿宋_GB2312" w:eastAsia="仿宋_GB2312" w:cs="仿宋_GB2312"/>
          <w:bCs/>
          <w:color w:val="auto"/>
          <w:kern w:val="0"/>
          <w:sz w:val="32"/>
          <w:szCs w:val="32"/>
          <w:lang w:eastAsia="zh-CN"/>
        </w:rPr>
        <w:t>万元。决算数大于年初数主要原因是：</w:t>
      </w:r>
      <w:r>
        <w:rPr>
          <w:rFonts w:hint="eastAsia" w:ascii="仿宋_GB2312" w:eastAsia="仿宋_GB2312" w:cs="仿宋_GB2312"/>
          <w:bCs/>
          <w:color w:val="auto"/>
          <w:kern w:val="0"/>
          <w:sz w:val="32"/>
          <w:szCs w:val="32"/>
          <w:lang w:val="en-US" w:eastAsia="zh-CN"/>
        </w:rPr>
        <w:t>2019年遗体器官捐献纪念广场工程建设支出。</w:t>
      </w:r>
    </w:p>
    <w:p>
      <w:pPr>
        <w:spacing w:line="560" w:lineRule="exact"/>
        <w:ind w:firstLine="640" w:firstLineChars="200"/>
        <w:rPr>
          <w:rFonts w:ascii="仿宋_GB2312" w:eastAsia="仿宋_GB2312" w:cs="仿宋_GB2312"/>
          <w:bCs/>
          <w:color w:val="0000FF"/>
          <w:kern w:val="0"/>
          <w:sz w:val="32"/>
          <w:szCs w:val="32"/>
        </w:rPr>
      </w:pP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lang w:eastAsia="zh-CN"/>
        </w:rPr>
        <w:t>. 卫生健康支出（类）行政事业单位医疗（款）事业单位医疗（项）。年初预算为</w:t>
      </w:r>
      <w:r>
        <w:rPr>
          <w:rFonts w:hint="eastAsia" w:ascii="仿宋_GB2312" w:eastAsia="仿宋_GB2312" w:cs="仿宋_GB2312"/>
          <w:bCs/>
          <w:color w:val="auto"/>
          <w:kern w:val="0"/>
          <w:sz w:val="32"/>
          <w:szCs w:val="32"/>
          <w:lang w:val="en-US" w:eastAsia="zh-CN"/>
        </w:rPr>
        <w:t>7.19</w:t>
      </w:r>
      <w:r>
        <w:rPr>
          <w:rFonts w:hint="eastAsia" w:ascii="仿宋_GB2312" w:eastAsia="仿宋_GB2312" w:cs="仿宋_GB2312"/>
          <w:bCs/>
          <w:color w:val="auto"/>
          <w:kern w:val="0"/>
          <w:sz w:val="32"/>
          <w:szCs w:val="32"/>
          <w:lang w:eastAsia="zh-CN"/>
        </w:rPr>
        <w:t>万元，支出决算为</w:t>
      </w:r>
      <w:r>
        <w:rPr>
          <w:rFonts w:hint="eastAsia" w:ascii="仿宋_GB2312" w:eastAsia="仿宋_GB2312" w:cs="仿宋_GB2312"/>
          <w:bCs/>
          <w:color w:val="auto"/>
          <w:kern w:val="0"/>
          <w:sz w:val="32"/>
          <w:szCs w:val="32"/>
          <w:lang w:val="en-US" w:eastAsia="zh-CN"/>
        </w:rPr>
        <w:t>7.19</w:t>
      </w:r>
      <w:r>
        <w:rPr>
          <w:rFonts w:hint="eastAsia" w:ascii="仿宋_GB2312" w:eastAsia="仿宋_GB2312" w:cs="仿宋_GB2312"/>
          <w:bCs/>
          <w:color w:val="auto"/>
          <w:kern w:val="0"/>
          <w:sz w:val="32"/>
          <w:szCs w:val="32"/>
          <w:lang w:eastAsia="zh-CN"/>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lang w:eastAsia="zh-CN"/>
        </w:rPr>
        <w:t xml:space="preserve">%。  </w:t>
      </w:r>
    </w:p>
    <w:p>
      <w:pPr>
        <w:spacing w:line="560" w:lineRule="exact"/>
        <w:ind w:firstLine="640" w:firstLineChars="200"/>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7. 住房保障支出（类）住房改革支出（款）住房公积金（项）。年初预算为11.23万元，支出决算为11.23万元，完成年初预算的100%。</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rPr>
      </w:pPr>
      <w:r>
        <w:rPr>
          <w:rFonts w:hint="eastAsia" w:ascii="仿宋_GB2312" w:eastAsia="仿宋_GB2312" w:cs="仿宋_GB2312"/>
          <w:bCs/>
          <w:color w:val="auto"/>
          <w:kern w:val="0"/>
          <w:sz w:val="32"/>
          <w:szCs w:val="32"/>
        </w:rPr>
        <w:t>六、</w:t>
      </w:r>
      <w:r>
        <w:rPr>
          <w:rFonts w:hint="eastAsia" w:ascii="仿宋_GB2312" w:eastAsia="仿宋_GB2312" w:cs="仿宋_GB2312"/>
          <w:b/>
          <w:color w:val="auto"/>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2020年度财政拨款基本支出</w:t>
      </w:r>
      <w:r>
        <w:rPr>
          <w:rFonts w:hint="eastAsia" w:ascii="仿宋_GB2312" w:eastAsia="仿宋_GB2312" w:cs="仿宋_GB2312"/>
          <w:bCs/>
          <w:color w:val="auto"/>
          <w:kern w:val="0"/>
          <w:sz w:val="32"/>
          <w:szCs w:val="32"/>
          <w:lang w:val="en-US" w:eastAsia="zh-CN"/>
        </w:rPr>
        <w:t>172.98</w:t>
      </w:r>
      <w:r>
        <w:rPr>
          <w:rFonts w:hint="eastAsia" w:ascii="仿宋_GB2312" w:eastAsia="仿宋_GB2312" w:cs="仿宋_GB2312"/>
          <w:bCs/>
          <w:color w:val="auto"/>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color w:val="auto"/>
          <w:kern w:val="0"/>
          <w:sz w:val="32"/>
          <w:szCs w:val="32"/>
        </w:rPr>
        <w:t xml:space="preserve"> 人员经费</w:t>
      </w:r>
      <w:r>
        <w:rPr>
          <w:rFonts w:hint="eastAsia" w:ascii="仿宋_GB2312" w:eastAsia="仿宋_GB2312" w:cs="仿宋_GB2312"/>
          <w:bCs/>
          <w:color w:val="auto"/>
          <w:kern w:val="0"/>
          <w:sz w:val="32"/>
          <w:szCs w:val="32"/>
          <w:lang w:val="en-US" w:eastAsia="zh-CN"/>
        </w:rPr>
        <w:t>142.17</w:t>
      </w:r>
      <w:r>
        <w:rPr>
          <w:rFonts w:hint="eastAsia" w:ascii="仿宋_GB2312" w:eastAsia="仿宋_GB2312" w:cs="仿宋_GB2312"/>
          <w:bCs/>
          <w:color w:val="auto"/>
          <w:kern w:val="0"/>
          <w:sz w:val="32"/>
          <w:szCs w:val="32"/>
        </w:rPr>
        <w:t>万元，主要包括：基本工资、津贴补贴、 奖金、</w:t>
      </w:r>
      <w:r>
        <w:rPr>
          <w:rFonts w:hint="eastAsia" w:ascii="仿宋_GB2312" w:eastAsia="仿宋_GB2312" w:cs="仿宋_GB2312"/>
          <w:bCs/>
          <w:kern w:val="0"/>
          <w:sz w:val="32"/>
          <w:szCs w:val="32"/>
        </w:rPr>
        <w:t>绩效工资、机关事业单位基本养老保险缴费、职业年金缴费、其他社会保障缴费、其他工资福利支出、退休费、住房公积金</w:t>
      </w:r>
      <w:r>
        <w:rPr>
          <w:rFonts w:hint="eastAsia" w:ascii="仿宋_GB2312" w:eastAsia="仿宋_GB2312" w:cs="仿宋_GB2312"/>
          <w:b w:val="0"/>
          <w:bCs/>
          <w:kern w:val="0"/>
          <w:sz w:val="32"/>
          <w:szCs w:val="32"/>
          <w:lang w:eastAsia="zh-CN"/>
        </w:rPr>
        <w:t>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30.81</w:t>
      </w:r>
      <w:r>
        <w:rPr>
          <w:rFonts w:hint="eastAsia" w:ascii="仿宋_GB2312" w:eastAsia="仿宋_GB2312" w:cs="仿宋_GB2312"/>
          <w:bCs/>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w:t>
      </w:r>
      <w:r>
        <w:rPr>
          <w:rFonts w:hint="eastAsia" w:ascii="仿宋_GB2312" w:eastAsia="仿宋_GB2312" w:cs="仿宋_GB2312"/>
          <w:bCs/>
          <w:kern w:val="0"/>
          <w:sz w:val="32"/>
          <w:szCs w:val="32"/>
          <w:lang w:eastAsia="zh-CN"/>
        </w:rPr>
        <w:t>等。</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4.72</w:t>
      </w:r>
      <w:r>
        <w:rPr>
          <w:rFonts w:hint="eastAsia" w:ascii="仿宋_GB2312" w:eastAsia="仿宋_GB2312" w:cs="仿宋_GB2312"/>
          <w:bCs/>
          <w:kern w:val="0"/>
          <w:sz w:val="32"/>
          <w:szCs w:val="32"/>
        </w:rPr>
        <w:t>万元，支出决算为6</w:t>
      </w:r>
      <w:r>
        <w:rPr>
          <w:rFonts w:hint="eastAsia" w:ascii="仿宋_GB2312" w:eastAsia="仿宋_GB2312" w:cs="仿宋_GB2312"/>
          <w:bCs/>
          <w:kern w:val="0"/>
          <w:sz w:val="32"/>
          <w:szCs w:val="32"/>
          <w:lang w:val="en-US" w:eastAsia="zh-CN"/>
        </w:rPr>
        <w:t>3.41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72</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3.19</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0.22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31</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；新冠肺炎疫情原因导致接待减少，</w:t>
      </w:r>
      <w:r>
        <w:rPr>
          <w:rFonts w:hint="eastAsia" w:ascii="仿宋_GB2312" w:eastAsia="仿宋_GB2312" w:cs="仿宋_GB2312"/>
          <w:bCs/>
          <w:kern w:val="0"/>
          <w:sz w:val="32"/>
          <w:szCs w:val="32"/>
        </w:rPr>
        <w:t>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2.40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41</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1.76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36</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0.64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74</w:t>
      </w:r>
      <w:r>
        <w:rPr>
          <w:rFonts w:hint="eastAsia" w:asci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pacing w:line="520" w:lineRule="exact"/>
        <w:ind w:firstLine="709"/>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因公出国（境）费</w:t>
      </w:r>
      <w:r>
        <w:rPr>
          <w:rFonts w:hint="eastAsia" w:ascii="仿宋_GB2312" w:eastAsia="仿宋_GB2312" w:cs="仿宋_GB2312"/>
          <w:bCs/>
          <w:color w:val="auto"/>
          <w:kern w:val="0"/>
          <w:sz w:val="32"/>
          <w:szCs w:val="32"/>
        </w:rPr>
        <w:t>支出减少的主要原因是</w:t>
      </w:r>
      <w:r>
        <w:rPr>
          <w:rFonts w:hint="eastAsia" w:ascii="仿宋_GB2312" w:hAnsi="仿宋" w:eastAsia="仿宋_GB2312" w:cs="仿宋"/>
          <w:color w:val="auto"/>
          <w:sz w:val="32"/>
          <w:szCs w:val="32"/>
          <w:lang w:val="en-US" w:eastAsia="zh-CN"/>
        </w:rPr>
        <w:t>本年度无因公出国</w:t>
      </w:r>
      <w:r>
        <w:rPr>
          <w:rFonts w:hint="eastAsia" w:ascii="仿宋_GB2312" w:eastAsia="仿宋_GB2312" w:cs="仿宋_GB2312"/>
          <w:bCs/>
          <w:color w:val="auto"/>
          <w:kern w:val="0"/>
          <w:sz w:val="32"/>
          <w:szCs w:val="32"/>
        </w:rPr>
        <w:t>；公务用车购置及运行费支出</w:t>
      </w:r>
      <w:r>
        <w:rPr>
          <w:rFonts w:hint="eastAsia" w:ascii="仿宋_GB2312" w:eastAsia="仿宋_GB2312" w:cs="仿宋_GB2312"/>
          <w:bCs/>
          <w:color w:val="auto"/>
          <w:kern w:val="0"/>
          <w:sz w:val="32"/>
          <w:szCs w:val="32"/>
          <w:lang w:eastAsia="zh-CN"/>
        </w:rPr>
        <w:t>减少</w:t>
      </w:r>
      <w:r>
        <w:rPr>
          <w:rFonts w:hint="eastAsia" w:ascii="仿宋_GB2312" w:eastAsia="仿宋_GB2312" w:cs="仿宋_GB2312"/>
          <w:bCs/>
          <w:color w:val="auto"/>
          <w:kern w:val="0"/>
          <w:sz w:val="32"/>
          <w:szCs w:val="32"/>
        </w:rPr>
        <w:t>的主要原因</w:t>
      </w:r>
      <w:r>
        <w:rPr>
          <w:rFonts w:hint="eastAsia" w:ascii="仿宋_GB2312" w:eastAsia="仿宋_GB2312" w:cs="仿宋_GB2312"/>
          <w:bCs/>
          <w:color w:val="auto"/>
          <w:kern w:val="0"/>
          <w:sz w:val="32"/>
          <w:szCs w:val="32"/>
          <w:lang w:eastAsia="zh-CN"/>
        </w:rPr>
        <w:t>是</w:t>
      </w:r>
      <w:r>
        <w:rPr>
          <w:rFonts w:hint="eastAsia" w:ascii="仿宋_GB2312" w:hAnsi="仿宋" w:eastAsia="仿宋_GB2312" w:cs="仿宋"/>
          <w:color w:val="auto"/>
          <w:sz w:val="32"/>
          <w:szCs w:val="32"/>
          <w:lang w:val="en-US" w:eastAsia="zh-CN"/>
        </w:rPr>
        <w:t>车辆使用次数减少，运行成本减少，故支出数减少</w:t>
      </w:r>
      <w:r>
        <w:rPr>
          <w:rFonts w:hint="eastAsia" w:ascii="仿宋_GB2312" w:eastAsia="仿宋_GB2312" w:cs="仿宋_GB2312"/>
          <w:bCs/>
          <w:color w:val="auto"/>
          <w:kern w:val="0"/>
          <w:sz w:val="32"/>
          <w:szCs w:val="32"/>
        </w:rPr>
        <w:t>；公务接待费支出减少的主要原因是</w:t>
      </w:r>
      <w:r>
        <w:rPr>
          <w:rFonts w:hint="eastAsia" w:ascii="仿宋_GB2312" w:eastAsia="仿宋_GB2312" w:cs="仿宋_GB2312"/>
          <w:bCs/>
          <w:color w:val="auto"/>
          <w:kern w:val="0"/>
          <w:sz w:val="32"/>
          <w:szCs w:val="32"/>
          <w:lang w:eastAsia="zh-CN"/>
        </w:rPr>
        <w:t>因疫情原因，公务接待减少；</w:t>
      </w:r>
      <w:r>
        <w:rPr>
          <w:rFonts w:hint="eastAsia" w:ascii="仿宋_GB2312" w:hAnsi="仿宋" w:eastAsia="仿宋_GB2312" w:cs="仿宋"/>
          <w:color w:val="auto"/>
          <w:sz w:val="32"/>
          <w:szCs w:val="32"/>
          <w:lang w:val="en-US" w:eastAsia="zh-CN"/>
        </w:rPr>
        <w:t>机构改革，局属单位划转，人员减少，支出减少。</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3.19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94</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0.22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3.19</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3.19</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单位公务用车及业务用车支出</w:t>
      </w:r>
      <w:r>
        <w:rPr>
          <w:rFonts w:hint="eastAsia" w:ascii="仿宋_GB2312" w:eastAsia="仿宋_GB2312" w:cs="仿宋_GB2312"/>
          <w:bCs/>
          <w:kern w:val="0"/>
          <w:sz w:val="32"/>
          <w:szCs w:val="32"/>
        </w:rPr>
        <w:t>。2020年，单位开支财政拨款的公务用车保有量为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辆</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0.22</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0.22</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接待外省同行考察学习方面支出。</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2020年度政府基金预算财政拨款收、支总决算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47.84</w:t>
      </w:r>
      <w:r>
        <w:rPr>
          <w:rFonts w:hint="eastAsia" w:ascii="仿宋_GB2312" w:eastAsia="仿宋_GB2312" w:cs="仿宋_GB2312"/>
          <w:bCs/>
          <w:kern w:val="0"/>
          <w:sz w:val="32"/>
          <w:szCs w:val="32"/>
        </w:rPr>
        <w:t>万元。与 2019 年相比，收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；支出总计增加</w:t>
      </w:r>
      <w:r>
        <w:rPr>
          <w:rFonts w:hint="eastAsia" w:ascii="仿宋_GB2312" w:eastAsia="仿宋_GB2312" w:cs="仿宋_GB2312"/>
          <w:bCs/>
          <w:kern w:val="0"/>
          <w:sz w:val="32"/>
          <w:szCs w:val="32"/>
          <w:lang w:val="en-US" w:eastAsia="zh-CN"/>
        </w:rPr>
        <w:t>41.11万元，增加61.10%</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47.84</w:t>
      </w:r>
      <w:r>
        <w:rPr>
          <w:rFonts w:hint="eastAsia" w:ascii="仿宋_GB2312" w:eastAsia="仿宋_GB2312" w:cs="仿宋_GB2312"/>
          <w:bCs/>
          <w:kern w:val="0"/>
          <w:sz w:val="32"/>
          <w:szCs w:val="32"/>
        </w:rPr>
        <w:t>万元，决算大于预算数主要原因：</w:t>
      </w:r>
      <w:r>
        <w:rPr>
          <w:rFonts w:hint="eastAsia" w:ascii="仿宋_GB2312" w:eastAsia="仿宋_GB2312" w:cs="仿宋_GB2312"/>
          <w:bCs/>
          <w:kern w:val="0"/>
          <w:sz w:val="32"/>
          <w:szCs w:val="32"/>
          <w:lang w:eastAsia="zh-CN"/>
        </w:rPr>
        <w:t>举办公益花葬活动经费支出用于上年度结转经费</w:t>
      </w:r>
      <w:r>
        <w:rPr>
          <w:rFonts w:hint="eastAsia" w:ascii="仿宋_GB2312" w:eastAsia="仿宋_GB2312" w:cs="仿宋_GB2312"/>
          <w:bCs/>
          <w:kern w:val="0"/>
          <w:sz w:val="32"/>
          <w:szCs w:val="32"/>
        </w:rPr>
        <w:t>。其中：</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 其他支出（类）</w:t>
      </w:r>
      <w:r>
        <w:rPr>
          <w:rFonts w:hint="eastAsia" w:ascii="仿宋_GB2312" w:eastAsia="仿宋_GB2312" w:cs="仿宋_GB2312"/>
          <w:bCs/>
          <w:kern w:val="0"/>
          <w:sz w:val="32"/>
          <w:szCs w:val="32"/>
          <w:lang w:eastAsia="zh-CN"/>
        </w:rPr>
        <w:t>彩票公益金安排的支出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用于社会福利的彩票公益金支出（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47.84</w:t>
      </w:r>
      <w:r>
        <w:rPr>
          <w:rFonts w:hint="eastAsia" w:ascii="仿宋_GB2312" w:eastAsia="仿宋_GB2312" w:cs="仿宋_GB2312"/>
          <w:bCs/>
          <w:kern w:val="0"/>
          <w:sz w:val="32"/>
          <w:szCs w:val="32"/>
        </w:rPr>
        <w:t>万元。决算数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举办公益花葬活动经费支出用于上年度结转经费。</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w:t>
      </w:r>
      <w:r>
        <w:rPr>
          <w:rFonts w:hint="eastAsia" w:ascii="仿宋_GB2312" w:eastAsia="仿宋_GB2312" w:cs="仿宋_GB2312"/>
          <w:bCs/>
          <w:kern w:val="0"/>
          <w:sz w:val="32"/>
          <w:szCs w:val="32"/>
          <w:lang w:eastAsia="zh-CN"/>
        </w:rPr>
        <w:t>我单位</w:t>
      </w:r>
      <w:r>
        <w:rPr>
          <w:rFonts w:hint="eastAsia" w:ascii="仿宋_GB2312" w:eastAsia="仿宋_GB2312" w:cs="仿宋_GB2312"/>
          <w:bCs/>
          <w:kern w:val="0"/>
          <w:sz w:val="32"/>
          <w:szCs w:val="32"/>
        </w:rPr>
        <w:t>组织对2020年度一般公共预算项目支出全面开展绩效自评。其中，支出绩效目标</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2948.02</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eastAsia="zh-CN"/>
        </w:rPr>
        <w:t>年初预算的</w:t>
      </w:r>
      <w:r>
        <w:rPr>
          <w:rFonts w:hint="eastAsia" w:ascii="仿宋_GB2312" w:eastAsia="仿宋_GB2312" w:cs="仿宋_GB2312"/>
          <w:bCs/>
          <w:kern w:val="0"/>
          <w:sz w:val="32"/>
          <w:szCs w:val="32"/>
          <w:lang w:val="en-US" w:eastAsia="zh-CN"/>
        </w:rPr>
        <w:t>81.35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numPr>
          <w:ilvl w:val="0"/>
          <w:numId w:val="0"/>
        </w:numPr>
        <w:spacing w:line="520" w:lineRule="exact"/>
        <w:ind w:firstLine="640" w:firstLineChars="200"/>
        <w:jc w:val="left"/>
        <w:rPr>
          <w:rFonts w:hint="eastAsia" w:ascii="仿宋" w:hAnsi="仿宋" w:eastAsia="仿宋" w:cs="仿宋"/>
          <w:sz w:val="32"/>
          <w:szCs w:val="32"/>
          <w:lang w:eastAsia="zh-CN"/>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根据年初设定的绩效目标</w:t>
      </w:r>
      <w:r>
        <w:rPr>
          <w:rFonts w:hint="eastAsia" w:ascii="仿宋_GB2312" w:eastAsia="仿宋_GB2312" w:cs="仿宋_GB2312"/>
          <w:kern w:val="0"/>
          <w:sz w:val="32"/>
          <w:szCs w:val="32"/>
          <w:lang w:eastAsia="zh-CN"/>
        </w:rPr>
        <w:t>，对单位整体支出</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64.53</w:t>
      </w:r>
      <w:r>
        <w:rPr>
          <w:rFonts w:hint="eastAsia" w:ascii="仿宋_GB2312" w:eastAsia="仿宋_GB2312" w:cs="仿宋_GB2312"/>
          <w:kern w:val="0"/>
          <w:sz w:val="32"/>
          <w:szCs w:val="32"/>
        </w:rPr>
        <w:t>分。发现的主要问题及原因：</w:t>
      </w:r>
      <w:r>
        <w:rPr>
          <w:rFonts w:hint="eastAsia" w:ascii="仿宋_GB2312" w:eastAsia="仿宋_GB2312" w:cs="仿宋_GB2312"/>
          <w:kern w:val="0"/>
          <w:sz w:val="32"/>
          <w:szCs w:val="32"/>
          <w:lang w:eastAsia="zh-CN"/>
        </w:rPr>
        <w:t>一是</w:t>
      </w:r>
      <w:r>
        <w:rPr>
          <w:rFonts w:hint="eastAsia" w:ascii="仿宋" w:hAnsi="仿宋" w:eastAsia="仿宋" w:cs="仿宋"/>
          <w:color w:val="auto"/>
          <w:sz w:val="32"/>
          <w:szCs w:val="32"/>
          <w:lang w:eastAsia="zh-CN"/>
        </w:rPr>
        <w:t>由于受</w:t>
      </w:r>
      <w:r>
        <w:rPr>
          <w:rFonts w:hint="eastAsia" w:ascii="仿宋" w:hAnsi="仿宋" w:eastAsia="仿宋" w:cs="仿宋"/>
          <w:color w:val="auto"/>
          <w:sz w:val="32"/>
          <w:szCs w:val="32"/>
          <w:lang w:val="en-US" w:eastAsia="zh-CN"/>
        </w:rPr>
        <w:t>2020年疫情影响，厂家生产及工期延误，公益性公墓Ｇ2区项目合同款未能付出，因此全年预算资金执行率为77.42％。二是</w:t>
      </w:r>
      <w:r>
        <w:rPr>
          <w:rFonts w:hint="eastAsia" w:ascii="仿宋" w:hAnsi="仿宋" w:eastAsia="仿宋" w:cs="仿宋"/>
          <w:sz w:val="32"/>
          <w:szCs w:val="32"/>
          <w:lang w:val="en-US" w:eastAsia="zh-CN"/>
        </w:rPr>
        <w:t>“西山公墓北大门广场配套工程”项目立项批文（柳发改规划〔2021〕3号）于2021年1月才获得项目立项批文，目前正在市审批局上报可研性报告及项目规划总平图程序，因此未能在2020年度按时开工，按时完工，不能按时年度绩效指标。对项目进行分析，将在以后绩效考核项目，负责项目科室要求做到，工作提前做，对有可能遇到的问题，做好解决方案，涉及有关部门的要积极进行交流咨询。强化质量，规范绩效自评工作，强化落实，按时完成绩效</w:t>
      </w:r>
      <w:r>
        <w:rPr>
          <w:rFonts w:hint="eastAsia" w:ascii="仿宋" w:hAnsi="仿宋" w:eastAsia="仿宋" w:cs="仿宋"/>
          <w:sz w:val="32"/>
          <w:szCs w:val="32"/>
          <w:lang w:eastAsia="zh-CN"/>
        </w:rPr>
        <w:t>自评工作。强化落实，按时完成绩效自评工作。</w:t>
      </w:r>
    </w:p>
    <w:p>
      <w:pPr>
        <w:numPr>
          <w:ilvl w:val="0"/>
          <w:numId w:val="0"/>
        </w:numPr>
        <w:spacing w:line="520" w:lineRule="exact"/>
        <w:ind w:firstLine="640" w:firstLineChars="200"/>
        <w:jc w:val="left"/>
        <w:rPr>
          <w:rFonts w:hint="eastAsia" w:ascii="仿宋" w:hAnsi="仿宋" w:eastAsia="仿宋" w:cs="仿宋"/>
          <w:sz w:val="32"/>
          <w:szCs w:val="32"/>
          <w:lang w:val="en-US" w:eastAsia="zh-CN"/>
        </w:rPr>
      </w:pPr>
    </w:p>
    <w:p>
      <w:pPr>
        <w:autoSpaceDE w:val="0"/>
        <w:autoSpaceDN w:val="0"/>
        <w:adjustRightInd w:val="0"/>
        <w:spacing w:line="580" w:lineRule="exact"/>
        <w:ind w:firstLine="1600" w:firstLineChars="500"/>
        <w:jc w:val="left"/>
        <w:rPr>
          <w:rFonts w:ascii="仿宋_GB2312" w:eastAsia="仿宋_GB2312" w:cs="仿宋_GB2312"/>
          <w:bCs/>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《项目支出绩效自评表》</w:t>
      </w:r>
      <w:r>
        <w:rPr>
          <w:rFonts w:hint="eastAsia" w:ascii="仿宋_GB2312" w:eastAsia="仿宋_GB2312" w:cs="仿宋_GB2312"/>
          <w:kern w:val="0"/>
          <w:sz w:val="32"/>
          <w:szCs w:val="32"/>
          <w:lang w:eastAsia="zh-CN"/>
        </w:rPr>
        <w:t>详见附件）</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hAnsi="仿宋" w:eastAsia="仿宋_GB2312" w:cs="仿宋"/>
          <w:bCs/>
          <w:color w:val="auto"/>
          <w:sz w:val="32"/>
          <w:szCs w:val="32"/>
          <w:lang w:val="en-US" w:eastAsia="zh-CN"/>
        </w:rPr>
        <w:t>1037.52</w:t>
      </w:r>
      <w:r>
        <w:rPr>
          <w:rFonts w:hint="eastAsia" w:ascii="仿宋_GB2312" w:eastAsia="仿宋_GB2312" w:cs="仿宋_GB2312"/>
          <w:kern w:val="0"/>
          <w:sz w:val="32"/>
          <w:szCs w:val="32"/>
        </w:rPr>
        <w:t>万元，其中：</w:t>
      </w:r>
      <w:r>
        <w:rPr>
          <w:rFonts w:hint="eastAsia" w:ascii="仿宋_GB2312" w:hAnsi="仿宋" w:eastAsia="仿宋_GB2312" w:cs="仿宋"/>
          <w:bCs/>
          <w:color w:val="auto"/>
          <w:sz w:val="32"/>
          <w:szCs w:val="32"/>
        </w:rPr>
        <w:t>货物支出</w:t>
      </w:r>
      <w:r>
        <w:rPr>
          <w:rFonts w:hint="eastAsia" w:ascii="仿宋_GB2312" w:hAnsi="仿宋" w:eastAsia="仿宋_GB2312" w:cs="仿宋"/>
          <w:bCs/>
          <w:color w:val="auto"/>
          <w:sz w:val="32"/>
          <w:szCs w:val="32"/>
          <w:lang w:val="en-US" w:eastAsia="zh-CN"/>
        </w:rPr>
        <w:t>837.32</w:t>
      </w:r>
      <w:r>
        <w:rPr>
          <w:rFonts w:hint="eastAsia" w:ascii="仿宋_GB2312" w:hAnsi="仿宋" w:eastAsia="仿宋_GB2312" w:cs="仿宋"/>
          <w:bCs/>
          <w:color w:val="auto"/>
          <w:sz w:val="32"/>
          <w:szCs w:val="32"/>
        </w:rPr>
        <w:t>万元、服务支出</w:t>
      </w:r>
      <w:r>
        <w:rPr>
          <w:rFonts w:hint="eastAsia" w:ascii="仿宋_GB2312" w:hAnsi="仿宋" w:eastAsia="仿宋_GB2312" w:cs="仿宋"/>
          <w:bCs/>
          <w:color w:val="auto"/>
          <w:sz w:val="32"/>
          <w:szCs w:val="32"/>
          <w:lang w:val="en-US" w:eastAsia="zh-CN"/>
        </w:rPr>
        <w:t>8.56</w:t>
      </w:r>
      <w:r>
        <w:rPr>
          <w:rFonts w:hint="eastAsia" w:ascii="仿宋_GB2312" w:hAnsi="仿宋" w:eastAsia="仿宋_GB2312" w:cs="仿宋"/>
          <w:bCs/>
          <w:color w:val="auto"/>
          <w:sz w:val="32"/>
          <w:szCs w:val="32"/>
        </w:rPr>
        <w:t>万元，</w:t>
      </w:r>
      <w:r>
        <w:rPr>
          <w:rFonts w:hint="eastAsia" w:ascii="仿宋_GB2312" w:hAnsi="仿宋" w:eastAsia="仿宋_GB2312" w:cs="仿宋"/>
          <w:bCs/>
          <w:color w:val="auto"/>
          <w:sz w:val="32"/>
          <w:szCs w:val="32"/>
          <w:lang w:eastAsia="zh-CN"/>
        </w:rPr>
        <w:t>工程</w:t>
      </w:r>
      <w:r>
        <w:rPr>
          <w:rFonts w:hint="eastAsia" w:ascii="仿宋_GB2312" w:hAnsi="仿宋" w:eastAsia="仿宋_GB2312" w:cs="仿宋"/>
          <w:bCs/>
          <w:color w:val="auto"/>
          <w:sz w:val="32"/>
          <w:szCs w:val="32"/>
        </w:rPr>
        <w:t>支出</w:t>
      </w:r>
      <w:r>
        <w:rPr>
          <w:rFonts w:hint="eastAsia" w:ascii="仿宋_GB2312" w:hAnsi="仿宋" w:eastAsia="仿宋_GB2312" w:cs="仿宋"/>
          <w:bCs/>
          <w:color w:val="auto"/>
          <w:sz w:val="32"/>
          <w:szCs w:val="32"/>
          <w:lang w:val="en-US" w:eastAsia="zh-CN"/>
        </w:rPr>
        <w:t>191.64</w:t>
      </w:r>
      <w:r>
        <w:rPr>
          <w:rFonts w:hint="eastAsia" w:ascii="仿宋_GB2312" w:hAnsi="仿宋" w:eastAsia="仿宋_GB2312" w:cs="仿宋"/>
          <w:bCs/>
          <w:color w:val="auto"/>
          <w:sz w:val="32"/>
          <w:szCs w:val="32"/>
        </w:rPr>
        <w:t>万元</w:t>
      </w:r>
      <w:r>
        <w:rPr>
          <w:rFonts w:hint="eastAsia" w:ascii="仿宋_GB2312" w:hAnsi="仿宋" w:eastAsia="仿宋_GB2312" w:cs="仿宋"/>
          <w:bCs/>
          <w:color w:val="auto"/>
          <w:sz w:val="32"/>
          <w:szCs w:val="32"/>
          <w:lang w:eastAsia="zh-CN"/>
        </w:rPr>
        <w:t>。</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特种</w:t>
      </w:r>
      <w:r>
        <w:rPr>
          <w:rFonts w:hint="eastAsia" w:ascii="仿宋_GB2312" w:eastAsia="仿宋_GB2312" w:cs="仿宋_GB2312"/>
          <w:kern w:val="0"/>
          <w:sz w:val="32"/>
          <w:szCs w:val="32"/>
        </w:rPr>
        <w:t>专业技术用车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其他用车</w:t>
      </w:r>
      <w:r>
        <w:rPr>
          <w:rFonts w:hint="eastAsia" w:ascii="仿宋_GB2312" w:eastAsia="仿宋_GB2312" w:cs="仿宋_GB2312"/>
          <w:kern w:val="0"/>
          <w:sz w:val="32"/>
          <w:szCs w:val="32"/>
          <w:lang w:val="en-US" w:eastAsia="zh-CN"/>
        </w:rPr>
        <w:t>10辆。</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ind w:firstLine="645"/>
        <w:jc w:val="center"/>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numPr>
          <w:ilvl w:val="0"/>
          <w:numId w:val="0"/>
        </w:numPr>
        <w:rPr>
          <w:rFonts w:hint="eastAsia" w:ascii="仿宋_GB2312" w:eastAsia="仿宋_GB2312"/>
          <w:b w:val="0"/>
          <w:bCs/>
          <w:sz w:val="32"/>
          <w:szCs w:val="32"/>
          <w:lang w:eastAsia="zh-CN"/>
        </w:rPr>
      </w:pPr>
    </w:p>
    <w:p>
      <w:pPr>
        <w:numPr>
          <w:ilvl w:val="0"/>
          <w:numId w:val="0"/>
        </w:numPr>
        <w:rPr>
          <w:rFonts w:hint="eastAsia" w:ascii="仿宋_GB2312" w:eastAsia="仿宋_GB2312"/>
          <w:b w:val="0"/>
          <w:bCs/>
          <w:sz w:val="32"/>
          <w:szCs w:val="32"/>
          <w:lang w:eastAsia="zh-CN"/>
        </w:rPr>
      </w:pP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附件：</w:t>
      </w:r>
      <w:r>
        <w:rPr>
          <w:rFonts w:hint="eastAsia" w:ascii="仿宋_GB2312" w:eastAsia="仿宋_GB2312" w:cs="仿宋_GB2312"/>
          <w:kern w:val="0"/>
          <w:sz w:val="32"/>
          <w:szCs w:val="32"/>
          <w:lang w:val="en-US" w:eastAsia="zh-CN"/>
        </w:rPr>
        <w:t>1.2020年度决算公开报表</w:t>
      </w:r>
    </w:p>
    <w:p>
      <w:pPr>
        <w:autoSpaceDE w:val="0"/>
        <w:autoSpaceDN w:val="0"/>
        <w:adjustRightInd w:val="0"/>
        <w:spacing w:line="560" w:lineRule="exact"/>
        <w:ind w:left="1608" w:leftChars="760" w:hanging="12" w:hangingChars="4"/>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2.2020年度柳州市公墓管理处整体支出项目绩效自评表</w:t>
      </w:r>
    </w:p>
    <w:p>
      <w:pPr>
        <w:autoSpaceDE w:val="0"/>
        <w:autoSpaceDN w:val="0"/>
        <w:adjustRightInd w:val="0"/>
        <w:spacing w:line="560" w:lineRule="exact"/>
        <w:ind w:left="1608" w:leftChars="760" w:hanging="12" w:hangingChars="4"/>
        <w:jc w:val="left"/>
        <w:rPr>
          <w:rFonts w:hint="default" w:ascii="仿宋_GB2312" w:eastAsia="仿宋_GB2312" w:cs="仿宋_GB2312"/>
          <w:kern w:val="0"/>
          <w:sz w:val="32"/>
          <w:szCs w:val="32"/>
          <w:lang w:val="en-US" w:eastAsia="zh-CN"/>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A446A1D"/>
    <w:multiLevelType w:val="singleLevel"/>
    <w:tmpl w:val="AA446A1D"/>
    <w:lvl w:ilvl="0" w:tentative="0">
      <w:start w:val="1"/>
      <w:numFmt w:val="decimal"/>
      <w:lvlText w:val="%1."/>
      <w:lvlJc w:val="left"/>
      <w:pPr>
        <w:tabs>
          <w:tab w:val="left" w:pos="312"/>
        </w:tabs>
      </w:p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48B6FC1"/>
    <w:rsid w:val="086F5C2E"/>
    <w:rsid w:val="09617C18"/>
    <w:rsid w:val="09920BE8"/>
    <w:rsid w:val="099265C4"/>
    <w:rsid w:val="0C435240"/>
    <w:rsid w:val="0C585F1A"/>
    <w:rsid w:val="0CB65929"/>
    <w:rsid w:val="0DB161EE"/>
    <w:rsid w:val="0E074DDF"/>
    <w:rsid w:val="0E804850"/>
    <w:rsid w:val="11AF0D65"/>
    <w:rsid w:val="124204B5"/>
    <w:rsid w:val="157E4D03"/>
    <w:rsid w:val="17E46BA4"/>
    <w:rsid w:val="182962AB"/>
    <w:rsid w:val="183A2190"/>
    <w:rsid w:val="185D28B5"/>
    <w:rsid w:val="19D073EB"/>
    <w:rsid w:val="1AFA74D8"/>
    <w:rsid w:val="1BBE5BE4"/>
    <w:rsid w:val="1BC84438"/>
    <w:rsid w:val="1BDC35F1"/>
    <w:rsid w:val="1CB8179F"/>
    <w:rsid w:val="1CC31F67"/>
    <w:rsid w:val="1CDC55A5"/>
    <w:rsid w:val="1D0224D0"/>
    <w:rsid w:val="207B073C"/>
    <w:rsid w:val="2303005E"/>
    <w:rsid w:val="2494767B"/>
    <w:rsid w:val="24D337DC"/>
    <w:rsid w:val="26460DBA"/>
    <w:rsid w:val="26F13632"/>
    <w:rsid w:val="27A95686"/>
    <w:rsid w:val="2B6F74EB"/>
    <w:rsid w:val="2C4219FE"/>
    <w:rsid w:val="2DE30186"/>
    <w:rsid w:val="2F5E3AB5"/>
    <w:rsid w:val="313B05E1"/>
    <w:rsid w:val="34020F86"/>
    <w:rsid w:val="351544C3"/>
    <w:rsid w:val="39A63F06"/>
    <w:rsid w:val="3A754C5E"/>
    <w:rsid w:val="3ED1439F"/>
    <w:rsid w:val="3EFF538C"/>
    <w:rsid w:val="403977E9"/>
    <w:rsid w:val="40C9072F"/>
    <w:rsid w:val="422519F4"/>
    <w:rsid w:val="42DB2F0A"/>
    <w:rsid w:val="46C3593E"/>
    <w:rsid w:val="47164D96"/>
    <w:rsid w:val="48374EDC"/>
    <w:rsid w:val="49226441"/>
    <w:rsid w:val="4A080B31"/>
    <w:rsid w:val="4B5E56A0"/>
    <w:rsid w:val="4BEF6D91"/>
    <w:rsid w:val="4C256E3D"/>
    <w:rsid w:val="4CB52F0F"/>
    <w:rsid w:val="4D134BA2"/>
    <w:rsid w:val="4E6B63F5"/>
    <w:rsid w:val="4ECD60CE"/>
    <w:rsid w:val="4F7453C1"/>
    <w:rsid w:val="508000CA"/>
    <w:rsid w:val="532F1F9A"/>
    <w:rsid w:val="53B5699A"/>
    <w:rsid w:val="541008E5"/>
    <w:rsid w:val="541B3BA6"/>
    <w:rsid w:val="58A3486B"/>
    <w:rsid w:val="5A5F7B02"/>
    <w:rsid w:val="5E995A3E"/>
    <w:rsid w:val="62163194"/>
    <w:rsid w:val="624D024D"/>
    <w:rsid w:val="63775CFD"/>
    <w:rsid w:val="6397497F"/>
    <w:rsid w:val="650E086A"/>
    <w:rsid w:val="66B42230"/>
    <w:rsid w:val="69B44F51"/>
    <w:rsid w:val="69B474BC"/>
    <w:rsid w:val="6BAA0708"/>
    <w:rsid w:val="6C297533"/>
    <w:rsid w:val="6C9F6C1F"/>
    <w:rsid w:val="6DCE2527"/>
    <w:rsid w:val="72044DAC"/>
    <w:rsid w:val="770D2422"/>
    <w:rsid w:val="779547A3"/>
    <w:rsid w:val="77AC12B7"/>
    <w:rsid w:val="7845703B"/>
    <w:rsid w:val="788369AC"/>
    <w:rsid w:val="79306262"/>
    <w:rsid w:val="7C202E34"/>
    <w:rsid w:val="7E1A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paragraph" w:customStyle="1" w:styleId="13">
    <w:name w:val="正文A"/>
    <w:basedOn w:val="1"/>
    <w:qFormat/>
    <w:uiPriority w:val="0"/>
    <w:pPr>
      <w:ind w:left="210" w:leftChars="100" w:right="100" w:rightChars="100"/>
    </w:pPr>
    <w:rPr>
      <w:rFonts w:ascii="微软雅黑" w:hAnsi="微软雅黑" w:eastAsia="微软雅黑"/>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54</TotalTime>
  <ScaleCrop>false</ScaleCrop>
  <LinksUpToDate>false</LinksUpToDate>
  <CharactersWithSpaces>8540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聖壹</cp:lastModifiedBy>
  <cp:lastPrinted>2021-07-07T01:10:00Z</cp:lastPrinted>
  <dcterms:modified xsi:type="dcterms:W3CDTF">2022-01-06T01:49:31Z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88DBD92BC08240D68C33D1CC2EC9FC55</vt:lpwstr>
  </property>
</Properties>
</file>