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ArialUnicodeMS"/>
          <w:kern w:val="0"/>
          <w:sz w:val="32"/>
          <w:szCs w:val="32"/>
        </w:rPr>
      </w:pPr>
    </w:p>
    <w:p>
      <w:pPr>
        <w:rPr>
          <w:rFonts w:hint="eastAsia" w:ascii="黑体" w:eastAsia="黑体" w:cs="ArialUnicodeMS"/>
          <w:kern w:val="0"/>
          <w:sz w:val="72"/>
          <w:szCs w:val="72"/>
        </w:rPr>
      </w:pPr>
    </w:p>
    <w:p>
      <w:pPr>
        <w:rPr>
          <w:rFonts w:hint="eastAsia" w:ascii="黑体" w:eastAsia="黑体" w:cs="ArialUnicodeMS"/>
          <w:kern w:val="0"/>
          <w:sz w:val="72"/>
          <w:szCs w:val="72"/>
        </w:rPr>
      </w:pPr>
    </w:p>
    <w:p>
      <w:pPr>
        <w:jc w:val="center"/>
        <w:rPr>
          <w:rFonts w:hint="eastAsia" w:ascii="黑体" w:hAnsi="黑体" w:eastAsia="黑体"/>
          <w:bCs/>
          <w:color w:val="000000"/>
          <w:sz w:val="52"/>
          <w:szCs w:val="52"/>
        </w:rPr>
      </w:pPr>
      <w:r>
        <w:rPr>
          <w:rFonts w:hint="eastAsia" w:ascii="黑体" w:eastAsia="黑体" w:cs="ArialUnicodeMS"/>
          <w:kern w:val="0"/>
          <w:sz w:val="52"/>
          <w:szCs w:val="52"/>
          <w:lang w:eastAsia="zh-CN"/>
        </w:rPr>
        <w:t>柳州市</w:t>
      </w:r>
      <w:r>
        <w:rPr>
          <w:rFonts w:hint="eastAsia" w:ascii="黑体" w:hAnsi="黑体" w:eastAsia="黑体"/>
          <w:bCs/>
          <w:color w:val="000000"/>
          <w:sz w:val="52"/>
          <w:szCs w:val="52"/>
        </w:rPr>
        <w:t>民政局</w:t>
      </w:r>
    </w:p>
    <w:p>
      <w:pPr>
        <w:jc w:val="center"/>
        <w:rPr>
          <w:rFonts w:hint="eastAsia" w:ascii="黑体" w:eastAsia="黑体" w:cs="ArialUnicodeMS"/>
          <w:kern w:val="0"/>
          <w:sz w:val="52"/>
          <w:szCs w:val="52"/>
        </w:rPr>
      </w:pPr>
      <w:r>
        <w:rPr>
          <w:rFonts w:hint="eastAsia" w:ascii="黑体" w:eastAsia="黑体"/>
          <w:kern w:val="0"/>
          <w:sz w:val="52"/>
          <w:szCs w:val="52"/>
          <w:lang w:val="en-US" w:eastAsia="zh-CN"/>
        </w:rPr>
        <w:t>2019</w:t>
      </w:r>
      <w:r>
        <w:rPr>
          <w:rFonts w:hint="eastAsia" w:ascii="黑体" w:eastAsia="黑体" w:cs="ArialUnicodeMS"/>
          <w:kern w:val="0"/>
          <w:sz w:val="52"/>
          <w:szCs w:val="52"/>
        </w:rPr>
        <w:t>年</w:t>
      </w:r>
      <w:r>
        <w:rPr>
          <w:rFonts w:hint="eastAsia" w:ascii="黑体" w:eastAsia="黑体" w:cs="ArialUnicodeMS"/>
          <w:kern w:val="0"/>
          <w:sz w:val="52"/>
          <w:szCs w:val="52"/>
          <w:lang w:eastAsia="zh-CN"/>
        </w:rPr>
        <w:t>度</w:t>
      </w:r>
      <w:r>
        <w:rPr>
          <w:rFonts w:hint="eastAsia" w:ascii="黑体" w:eastAsia="黑体" w:cs="ArialUnicodeMS"/>
          <w:kern w:val="0"/>
          <w:sz w:val="52"/>
          <w:szCs w:val="52"/>
        </w:rPr>
        <w:t>部门决算</w:t>
      </w: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jc w:val="center"/>
        <w:rPr>
          <w:rFonts w:hint="eastAsia" w:ascii="黑体" w:eastAsia="黑体" w:cs="黑体"/>
          <w:kern w:val="0"/>
          <w:sz w:val="44"/>
          <w:szCs w:val="44"/>
        </w:rPr>
      </w:pPr>
    </w:p>
    <w:p>
      <w:pPr>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ind w:firstLine="645"/>
        <w:rPr>
          <w:rFonts w:hint="eastAsia"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柳州市民政局</w:t>
      </w:r>
      <w:r>
        <w:rPr>
          <w:rFonts w:hint="eastAsia" w:ascii="仿宋_GB2312" w:eastAsia="仿宋_GB2312"/>
          <w:b/>
          <w:sz w:val="32"/>
          <w:szCs w:val="32"/>
        </w:rPr>
        <w:t>概况</w:t>
      </w:r>
    </w:p>
    <w:p>
      <w:pPr>
        <w:ind w:firstLine="645"/>
        <w:rPr>
          <w:rFonts w:hint="eastAsia"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rPr>
      </w:pPr>
      <w:r>
        <w:rPr>
          <w:rFonts w:hint="eastAsia" w:ascii="仿宋_GB2312" w:eastAsia="仿宋_GB2312"/>
          <w:sz w:val="32"/>
          <w:szCs w:val="32"/>
        </w:rPr>
        <w:t>二、部门决算单位构成</w:t>
      </w:r>
    </w:p>
    <w:p>
      <w:pPr>
        <w:ind w:firstLine="645"/>
        <w:rPr>
          <w:rFonts w:hint="eastAsia"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柳州市民政局</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柳州市民政局</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收入</w:t>
      </w:r>
      <w:r>
        <w:rPr>
          <w:rFonts w:hint="eastAsia" w:ascii="仿宋_GB2312" w:eastAsia="仿宋_GB2312" w:cs="仿宋_GB2312"/>
          <w:kern w:val="0"/>
          <w:sz w:val="32"/>
          <w:szCs w:val="32"/>
        </w:rPr>
        <w:t>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支出</w:t>
      </w:r>
      <w:r>
        <w:rPr>
          <w:rFonts w:hint="eastAsia" w:ascii="仿宋_GB2312" w:eastAsia="仿宋_GB2312" w:cs="仿宋_GB2312"/>
          <w:kern w:val="0"/>
          <w:sz w:val="32"/>
          <w:szCs w:val="32"/>
        </w:rPr>
        <w:t>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四、</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财政拨款收入支出决算情况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五、</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六、</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一般公共预算财政拨款基本支出决算情况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七、</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一般公共预算财政拨款“三公”经费支出决算情况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kern w:val="0"/>
          <w:sz w:val="32"/>
          <w:szCs w:val="32"/>
          <w:lang w:eastAsia="zh-CN"/>
        </w:rPr>
        <w:t>八、</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九、</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hint="eastAsia" w:ascii="仿宋_GB2312" w:eastAsia="仿宋_GB2312" w:cs="仿宋_GB2312"/>
          <w:b w:val="0"/>
          <w:bCs w:val="0"/>
          <w:kern w:val="0"/>
          <w:sz w:val="32"/>
          <w:szCs w:val="32"/>
        </w:rPr>
      </w:pPr>
      <w:r>
        <w:rPr>
          <w:rFonts w:hint="eastAsia" w:ascii="仿宋_GB2312" w:eastAsia="仿宋_GB2312" w:cs="仿宋_GB2312"/>
          <w:bCs/>
          <w:kern w:val="0"/>
          <w:sz w:val="32"/>
          <w:szCs w:val="32"/>
          <w:lang w:eastAsia="zh-CN"/>
        </w:rPr>
        <w:t>十、</w:t>
      </w:r>
      <w:r>
        <w:rPr>
          <w:rFonts w:hint="eastAsia" w:ascii="仿宋_GB2312" w:eastAsia="仿宋_GB2312" w:cs="仿宋_GB2312"/>
          <w:bCs/>
          <w:kern w:val="0"/>
          <w:sz w:val="32"/>
          <w:szCs w:val="32"/>
        </w:rPr>
        <w:t>其他重要事项的情况说明</w:t>
      </w:r>
    </w:p>
    <w:p>
      <w:pPr>
        <w:ind w:firstLine="645"/>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ind w:firstLine="646"/>
        <w:jc w:val="center"/>
        <w:rPr>
          <w:rFonts w:ascii="仿宋_GB2312" w:eastAsia="仿宋_GB2312"/>
          <w:b/>
          <w:sz w:val="32"/>
          <w:szCs w:val="32"/>
        </w:rPr>
      </w:pPr>
      <w:r>
        <w:rPr>
          <w:rFonts w:hint="eastAsia" w:ascii="仿宋_GB2312" w:eastAsia="仿宋_GB2312" w:cs="仿宋_GB2312"/>
          <w:b w:val="0"/>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柳州市民政局</w:t>
      </w:r>
      <w:r>
        <w:rPr>
          <w:rFonts w:hint="eastAsia" w:ascii="仿宋_GB2312" w:eastAsia="仿宋_GB2312"/>
          <w:b/>
          <w:sz w:val="32"/>
          <w:szCs w:val="32"/>
          <w:u w:val="none"/>
        </w:rPr>
        <w:t>概况</w:t>
      </w:r>
    </w:p>
    <w:p>
      <w:pPr>
        <w:ind w:firstLine="646"/>
        <w:rPr>
          <w:rFonts w:hint="eastAsia" w:ascii="仿宋" w:hAnsi="仿宋" w:eastAsia="仿宋" w:cs="仿宋"/>
          <w:sz w:val="32"/>
          <w:szCs w:val="32"/>
        </w:rPr>
      </w:pPr>
      <w:r>
        <w:rPr>
          <w:rFonts w:hint="eastAsia" w:ascii="仿宋" w:hAnsi="仿宋" w:eastAsia="仿宋" w:cs="仿宋"/>
          <w:sz w:val="32"/>
          <w:szCs w:val="32"/>
        </w:rPr>
        <w:t>一、主要职能</w:t>
      </w:r>
    </w:p>
    <w:p>
      <w:pPr>
        <w:snapToGrid w:val="0"/>
        <w:ind w:firstLine="640" w:firstLineChars="200"/>
        <w:rPr>
          <w:rFonts w:hint="eastAsia" w:ascii="仿宋" w:hAnsi="仿宋" w:eastAsia="仿宋" w:cs="仿宋"/>
          <w:sz w:val="32"/>
          <w:szCs w:val="32"/>
        </w:rPr>
      </w:pPr>
      <w:r>
        <w:rPr>
          <w:rFonts w:hint="eastAsia" w:ascii="仿宋" w:hAnsi="仿宋" w:eastAsia="仿宋" w:cs="仿宋"/>
          <w:sz w:val="32"/>
          <w:szCs w:val="32"/>
        </w:rPr>
        <w:t>柳州市民政局是主管社会行政事务的职能部门，履行着“上为政府分忧，下为群众解愁”的重要职能，负责</w:t>
      </w:r>
      <w:r>
        <w:rPr>
          <w:rFonts w:hint="eastAsia" w:ascii="仿宋" w:hAnsi="仿宋" w:eastAsia="仿宋" w:cs="仿宋"/>
          <w:i w:val="0"/>
          <w:caps w:val="0"/>
          <w:color w:val="333333"/>
          <w:spacing w:val="0"/>
          <w:sz w:val="32"/>
          <w:szCs w:val="32"/>
          <w:shd w:val="clear" w:fill="FFFFFF"/>
        </w:rPr>
        <w:t>养老服务</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儿童福利</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"http://baike.sogou.com/lemma/ShowInnerLink.htm?lemmaId=7572373&amp;ss_c=ssc.citiao.link" \t "_blank" </w:instrText>
      </w:r>
      <w:r>
        <w:rPr>
          <w:rFonts w:hint="eastAsia" w:ascii="仿宋" w:hAnsi="仿宋" w:eastAsia="仿宋" w:cs="仿宋"/>
          <w:sz w:val="32"/>
          <w:szCs w:val="32"/>
        </w:rPr>
        <w:fldChar w:fldCharType="separate"/>
      </w:r>
      <w:r>
        <w:rPr>
          <w:rFonts w:hint="eastAsia" w:ascii="仿宋" w:hAnsi="仿宋" w:eastAsia="仿宋" w:cs="仿宋"/>
          <w:sz w:val="32"/>
          <w:szCs w:val="32"/>
        </w:rPr>
        <w:t>婚姻登记</w:t>
      </w:r>
      <w:r>
        <w:rPr>
          <w:rFonts w:hint="eastAsia" w:ascii="仿宋" w:hAnsi="仿宋" w:eastAsia="仿宋" w:cs="仿宋"/>
          <w:sz w:val="32"/>
          <w:szCs w:val="32"/>
        </w:rPr>
        <w:fldChar w:fldCharType="end"/>
      </w:r>
      <w:r>
        <w:rPr>
          <w:rFonts w:hint="eastAsia" w:ascii="仿宋" w:hAnsi="仿宋" w:eastAsia="仿宋" w:cs="仿宋"/>
          <w:sz w:val="32"/>
          <w:szCs w:val="32"/>
        </w:rPr>
        <w:t>、</w:t>
      </w:r>
      <w:r>
        <w:rPr>
          <w:rFonts w:hint="eastAsia" w:ascii="仿宋" w:hAnsi="仿宋" w:eastAsia="仿宋" w:cs="仿宋"/>
          <w:i w:val="0"/>
          <w:caps w:val="0"/>
          <w:color w:val="333333"/>
          <w:spacing w:val="0"/>
          <w:sz w:val="32"/>
          <w:szCs w:val="32"/>
          <w:shd w:val="clear" w:fill="FFFFFF"/>
        </w:rPr>
        <w:t>社会工作</w:t>
      </w:r>
      <w:r>
        <w:rPr>
          <w:rFonts w:hint="eastAsia" w:ascii="仿宋" w:hAnsi="仿宋" w:eastAsia="仿宋" w:cs="仿宋"/>
          <w:sz w:val="32"/>
          <w:szCs w:val="32"/>
        </w:rPr>
        <w:t>、</w:t>
      </w:r>
      <w:r>
        <w:rPr>
          <w:rFonts w:hint="eastAsia" w:ascii="仿宋" w:hAnsi="仿宋" w:eastAsia="仿宋" w:cs="仿宋"/>
          <w:i w:val="0"/>
          <w:caps w:val="0"/>
          <w:color w:val="333333"/>
          <w:spacing w:val="0"/>
          <w:sz w:val="32"/>
          <w:szCs w:val="32"/>
          <w:shd w:val="clear" w:fill="FFFFFF"/>
        </w:rPr>
        <w:t>地名管理及标准化建设</w:t>
      </w:r>
      <w:r>
        <w:rPr>
          <w:rFonts w:hint="eastAsia" w:ascii="仿宋" w:hAnsi="仿宋" w:eastAsia="仿宋" w:cs="仿宋"/>
          <w:sz w:val="32"/>
          <w:szCs w:val="32"/>
        </w:rPr>
        <w:t>、</w:t>
      </w:r>
      <w:r>
        <w:rPr>
          <w:rFonts w:hint="eastAsia" w:ascii="仿宋" w:hAnsi="仿宋" w:eastAsia="仿宋" w:cs="仿宋"/>
          <w:i w:val="0"/>
          <w:caps w:val="0"/>
          <w:color w:val="333333"/>
          <w:spacing w:val="0"/>
          <w:sz w:val="32"/>
          <w:szCs w:val="32"/>
          <w:shd w:val="clear" w:fill="FFFFFF"/>
        </w:rPr>
        <w:t>城乡基层政权建设</w:t>
      </w:r>
      <w:r>
        <w:rPr>
          <w:rFonts w:hint="eastAsia" w:ascii="仿宋" w:hAnsi="仿宋" w:eastAsia="仿宋" w:cs="仿宋"/>
          <w:sz w:val="32"/>
          <w:szCs w:val="32"/>
        </w:rPr>
        <w:t>、</w:t>
      </w:r>
      <w:r>
        <w:rPr>
          <w:rFonts w:hint="eastAsia" w:ascii="仿宋" w:hAnsi="仿宋" w:eastAsia="仿宋" w:cs="仿宋"/>
          <w:i w:val="0"/>
          <w:caps w:val="0"/>
          <w:color w:val="333333"/>
          <w:spacing w:val="0"/>
          <w:sz w:val="32"/>
          <w:szCs w:val="32"/>
          <w:shd w:val="clear" w:fill="FFFFFF"/>
        </w:rPr>
        <w:t>社会组织监督管理</w:t>
      </w:r>
      <w:r>
        <w:rPr>
          <w:rFonts w:hint="eastAsia" w:ascii="仿宋" w:hAnsi="仿宋" w:eastAsia="仿宋" w:cs="仿宋"/>
          <w:sz w:val="32"/>
          <w:szCs w:val="32"/>
        </w:rPr>
        <w:t>、低保、福利、慈善、</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"http://baike.sogou.com/lemma/ShowInnerLink.htm?lemmaId=440161&amp;ss_c=ssc.citiao.link" \t "_blank" </w:instrText>
      </w:r>
      <w:r>
        <w:rPr>
          <w:rFonts w:hint="eastAsia" w:ascii="仿宋" w:hAnsi="仿宋" w:eastAsia="仿宋" w:cs="仿宋"/>
          <w:sz w:val="32"/>
          <w:szCs w:val="32"/>
        </w:rPr>
        <w:fldChar w:fldCharType="separate"/>
      </w:r>
      <w:r>
        <w:rPr>
          <w:rFonts w:hint="eastAsia" w:ascii="仿宋" w:hAnsi="仿宋" w:eastAsia="仿宋" w:cs="仿宋"/>
          <w:sz w:val="32"/>
          <w:szCs w:val="32"/>
        </w:rPr>
        <w:t>殡葬</w:t>
      </w:r>
      <w:r>
        <w:rPr>
          <w:rFonts w:hint="eastAsia" w:ascii="仿宋" w:hAnsi="仿宋" w:eastAsia="仿宋" w:cs="仿宋"/>
          <w:sz w:val="32"/>
          <w:szCs w:val="32"/>
        </w:rPr>
        <w:fldChar w:fldCharType="end"/>
      </w:r>
      <w:r>
        <w:rPr>
          <w:rFonts w:hint="eastAsia" w:ascii="仿宋" w:hAnsi="仿宋" w:eastAsia="仿宋" w:cs="仿宋"/>
          <w:sz w:val="32"/>
          <w:szCs w:val="32"/>
        </w:rPr>
        <w:t>、</w:t>
      </w:r>
      <w:r>
        <w:rPr>
          <w:rFonts w:hint="eastAsia" w:ascii="仿宋" w:hAnsi="仿宋" w:eastAsia="仿宋" w:cs="仿宋"/>
          <w:i w:val="0"/>
          <w:caps w:val="0"/>
          <w:color w:val="333333"/>
          <w:spacing w:val="0"/>
          <w:sz w:val="32"/>
          <w:szCs w:val="32"/>
          <w:shd w:val="clear" w:fill="FFFFFF"/>
        </w:rPr>
        <w:t>社会救助</w:t>
      </w:r>
      <w:r>
        <w:rPr>
          <w:rFonts w:hint="eastAsia" w:ascii="仿宋" w:hAnsi="仿宋" w:eastAsia="仿宋" w:cs="仿宋"/>
          <w:sz w:val="32"/>
          <w:szCs w:val="32"/>
        </w:rPr>
        <w:t>等工作。</w:t>
      </w:r>
    </w:p>
    <w:p>
      <w:pPr>
        <w:ind w:firstLine="646"/>
        <w:rPr>
          <w:rFonts w:hint="eastAsia" w:ascii="仿宋" w:hAnsi="仿宋" w:eastAsia="仿宋" w:cs="仿宋"/>
          <w:sz w:val="32"/>
          <w:szCs w:val="32"/>
        </w:rPr>
      </w:pPr>
      <w:r>
        <w:rPr>
          <w:rFonts w:hint="eastAsia" w:ascii="仿宋" w:hAnsi="仿宋" w:eastAsia="仿宋" w:cs="仿宋"/>
          <w:sz w:val="32"/>
          <w:szCs w:val="32"/>
        </w:rPr>
        <w:t>二、部门决算单位构成</w:t>
      </w:r>
    </w:p>
    <w:tbl>
      <w:tblPr>
        <w:tblStyle w:val="6"/>
        <w:tblW w:w="9563" w:type="dxa"/>
        <w:tblInd w:w="0" w:type="dxa"/>
        <w:tblLayout w:type="fixed"/>
        <w:tblCellMar>
          <w:top w:w="15" w:type="dxa"/>
          <w:left w:w="15" w:type="dxa"/>
          <w:bottom w:w="15" w:type="dxa"/>
          <w:right w:w="15" w:type="dxa"/>
        </w:tblCellMar>
      </w:tblPr>
      <w:tblGrid>
        <w:gridCol w:w="4410"/>
        <w:gridCol w:w="5103"/>
        <w:gridCol w:w="50"/>
      </w:tblGrid>
      <w:tr>
        <w:tblPrEx>
          <w:tblLayout w:type="fixed"/>
          <w:tblCellMar>
            <w:top w:w="15" w:type="dxa"/>
            <w:left w:w="15" w:type="dxa"/>
            <w:bottom w:w="15" w:type="dxa"/>
            <w:right w:w="15" w:type="dxa"/>
          </w:tblCellMar>
        </w:tblPrEx>
        <w:trPr>
          <w:gridAfter w:val="1"/>
          <w:wAfter w:w="50" w:type="dxa"/>
          <w:trHeight w:val="336" w:hRule="atLeast"/>
        </w:trPr>
        <w:tc>
          <w:tcPr>
            <w:tcW w:w="4410" w:type="dxa"/>
            <w:tcBorders>
              <w:top w:val="single" w:color="auto" w:sz="4" w:space="0"/>
              <w:left w:val="single" w:color="auto" w:sz="4" w:space="0"/>
              <w:bottom w:val="single" w:color="auto" w:sz="4" w:space="0"/>
              <w:right w:val="single" w:color="auto" w:sz="4" w:space="0"/>
            </w:tcBorders>
            <w:vAlign w:val="center"/>
          </w:tcPr>
          <w:p>
            <w:pPr>
              <w:spacing w:beforeLines="10" w:afterLines="10" w:line="500" w:lineRule="exact"/>
              <w:jc w:val="center"/>
              <w:textAlignment w:val="center"/>
              <w:rPr>
                <w:rFonts w:ascii="仿宋_GB2312" w:hAnsi="仿宋" w:eastAsia="仿宋_GB2312"/>
                <w:sz w:val="24"/>
              </w:rPr>
            </w:pPr>
            <w:r>
              <w:rPr>
                <w:rFonts w:hint="eastAsia" w:ascii="仿宋_GB2312" w:hAnsi="仿宋" w:eastAsia="仿宋_GB2312"/>
                <w:sz w:val="24"/>
              </w:rPr>
              <w:t>单位名称</w:t>
            </w:r>
          </w:p>
        </w:tc>
        <w:tc>
          <w:tcPr>
            <w:tcW w:w="5103" w:type="dxa"/>
            <w:tcBorders>
              <w:top w:val="single" w:color="auto" w:sz="4" w:space="0"/>
              <w:left w:val="single" w:color="auto" w:sz="4" w:space="0"/>
              <w:bottom w:val="single" w:color="auto" w:sz="4" w:space="0"/>
              <w:right w:val="single" w:color="auto" w:sz="4" w:space="0"/>
            </w:tcBorders>
            <w:vAlign w:val="center"/>
          </w:tcPr>
          <w:p>
            <w:pPr>
              <w:spacing w:beforeLines="10" w:afterLines="10" w:line="500" w:lineRule="exact"/>
              <w:jc w:val="center"/>
              <w:textAlignment w:val="center"/>
              <w:rPr>
                <w:rFonts w:ascii="仿宋_GB2312" w:hAnsi="仿宋" w:eastAsia="仿宋_GB2312"/>
                <w:sz w:val="24"/>
              </w:rPr>
            </w:pPr>
            <w:r>
              <w:rPr>
                <w:rFonts w:hint="eastAsia" w:ascii="仿宋_GB2312" w:hAnsi="仿宋" w:eastAsia="仿宋_GB2312"/>
                <w:sz w:val="24"/>
              </w:rPr>
              <w:t>单位性质</w:t>
            </w:r>
          </w:p>
        </w:tc>
      </w:tr>
      <w:tr>
        <w:tblPrEx>
          <w:tblLayout w:type="fixed"/>
          <w:tblCellMar>
            <w:top w:w="15" w:type="dxa"/>
            <w:left w:w="15" w:type="dxa"/>
            <w:bottom w:w="15" w:type="dxa"/>
            <w:right w:w="15" w:type="dxa"/>
          </w:tblCellMar>
        </w:tblPrEx>
        <w:trPr>
          <w:gridAfter w:val="1"/>
          <w:wAfter w:w="50" w:type="dxa"/>
          <w:trHeight w:val="638"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柳州市民政局机关</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行政单位</w:t>
            </w:r>
          </w:p>
        </w:tc>
      </w:tr>
      <w:tr>
        <w:tblPrEx>
          <w:tblLayout w:type="fixed"/>
          <w:tblCellMar>
            <w:top w:w="15" w:type="dxa"/>
            <w:left w:w="15" w:type="dxa"/>
            <w:bottom w:w="15" w:type="dxa"/>
            <w:right w:w="15" w:type="dxa"/>
          </w:tblCellMar>
        </w:tblPrEx>
        <w:trPr>
          <w:gridAfter w:val="1"/>
          <w:wAfter w:w="50" w:type="dxa"/>
          <w:trHeight w:val="481"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柳州市救助管理站</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参公单位</w:t>
            </w:r>
          </w:p>
        </w:tc>
      </w:tr>
      <w:tr>
        <w:tblPrEx>
          <w:tblLayout w:type="fixed"/>
          <w:tblCellMar>
            <w:top w:w="15" w:type="dxa"/>
            <w:left w:w="15" w:type="dxa"/>
            <w:bottom w:w="15" w:type="dxa"/>
            <w:right w:w="15" w:type="dxa"/>
          </w:tblCellMar>
        </w:tblPrEx>
        <w:trPr>
          <w:gridAfter w:val="1"/>
          <w:wAfter w:w="50" w:type="dxa"/>
          <w:trHeight w:val="249"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柳州军用供应站</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参公单位</w:t>
            </w:r>
          </w:p>
        </w:tc>
      </w:tr>
      <w:tr>
        <w:tblPrEx>
          <w:tblLayout w:type="fixed"/>
          <w:tblCellMar>
            <w:top w:w="15" w:type="dxa"/>
            <w:left w:w="15" w:type="dxa"/>
            <w:bottom w:w="15" w:type="dxa"/>
            <w:right w:w="15" w:type="dxa"/>
          </w:tblCellMar>
        </w:tblPrEx>
        <w:trPr>
          <w:gridAfter w:val="1"/>
          <w:wAfter w:w="50" w:type="dxa"/>
          <w:trHeight w:val="474"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柳州市军队离退休干部服务管理中心</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参公单位</w:t>
            </w:r>
          </w:p>
        </w:tc>
      </w:tr>
      <w:tr>
        <w:tblPrEx>
          <w:tblLayout w:type="fixed"/>
          <w:tblCellMar>
            <w:top w:w="15" w:type="dxa"/>
            <w:left w:w="15" w:type="dxa"/>
            <w:bottom w:w="15" w:type="dxa"/>
            <w:right w:w="15" w:type="dxa"/>
          </w:tblCellMar>
        </w:tblPrEx>
        <w:trPr>
          <w:gridAfter w:val="1"/>
          <w:wAfter w:w="50" w:type="dxa"/>
          <w:trHeight w:val="512"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柳州市军队离休退休干部胜利休养所</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参公单位</w:t>
            </w:r>
          </w:p>
        </w:tc>
      </w:tr>
      <w:tr>
        <w:tblPrEx>
          <w:tblLayout w:type="fixed"/>
          <w:tblCellMar>
            <w:top w:w="15" w:type="dxa"/>
            <w:left w:w="15" w:type="dxa"/>
            <w:bottom w:w="15" w:type="dxa"/>
            <w:right w:w="15" w:type="dxa"/>
          </w:tblCellMar>
        </w:tblPrEx>
        <w:trPr>
          <w:gridAfter w:val="1"/>
          <w:wAfter w:w="50" w:type="dxa"/>
          <w:trHeight w:val="422"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柳州市军队离休退休干部静兰休养所</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参公单位</w:t>
            </w:r>
          </w:p>
        </w:tc>
      </w:tr>
      <w:tr>
        <w:tblPrEx>
          <w:tblLayout w:type="fixed"/>
          <w:tblCellMar>
            <w:top w:w="15" w:type="dxa"/>
            <w:left w:w="15" w:type="dxa"/>
            <w:bottom w:w="15" w:type="dxa"/>
            <w:right w:w="15" w:type="dxa"/>
          </w:tblCellMar>
        </w:tblPrEx>
        <w:trPr>
          <w:gridAfter w:val="1"/>
          <w:wAfter w:w="50" w:type="dxa"/>
          <w:trHeight w:val="46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柳州市城乡居民最低生活保障管理办公室</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参公单位</w:t>
            </w:r>
          </w:p>
        </w:tc>
      </w:tr>
      <w:tr>
        <w:tblPrEx>
          <w:tblLayout w:type="fixed"/>
          <w:tblCellMar>
            <w:top w:w="15" w:type="dxa"/>
            <w:left w:w="15" w:type="dxa"/>
            <w:bottom w:w="15" w:type="dxa"/>
            <w:right w:w="15" w:type="dxa"/>
          </w:tblCellMar>
        </w:tblPrEx>
        <w:trPr>
          <w:gridAfter w:val="1"/>
          <w:wAfter w:w="50" w:type="dxa"/>
          <w:trHeight w:val="512"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柳州市备灾中心</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参公单位</w:t>
            </w:r>
          </w:p>
        </w:tc>
      </w:tr>
      <w:tr>
        <w:tblPrEx>
          <w:tblLayout w:type="fixed"/>
          <w:tblCellMar>
            <w:top w:w="15" w:type="dxa"/>
            <w:left w:w="15" w:type="dxa"/>
            <w:bottom w:w="15" w:type="dxa"/>
            <w:right w:w="15" w:type="dxa"/>
          </w:tblCellMar>
        </w:tblPrEx>
        <w:trPr>
          <w:gridAfter w:val="1"/>
          <w:wAfter w:w="50" w:type="dxa"/>
          <w:trHeight w:val="408"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柳州市社会福利院</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全额拨款</w:t>
            </w:r>
          </w:p>
        </w:tc>
      </w:tr>
      <w:tr>
        <w:tblPrEx>
          <w:tblLayout w:type="fixed"/>
          <w:tblCellMar>
            <w:top w:w="15" w:type="dxa"/>
            <w:left w:w="15" w:type="dxa"/>
            <w:bottom w:w="15" w:type="dxa"/>
            <w:right w:w="15" w:type="dxa"/>
          </w:tblCellMar>
        </w:tblPrEx>
        <w:trPr>
          <w:gridAfter w:val="1"/>
          <w:wAfter w:w="50" w:type="dxa"/>
          <w:trHeight w:val="461"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柳州市按摩医院</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全额拨款</w:t>
            </w:r>
          </w:p>
        </w:tc>
      </w:tr>
      <w:tr>
        <w:tblPrEx>
          <w:tblLayout w:type="fixed"/>
          <w:tblCellMar>
            <w:top w:w="15" w:type="dxa"/>
            <w:left w:w="15" w:type="dxa"/>
            <w:bottom w:w="15" w:type="dxa"/>
            <w:right w:w="15" w:type="dxa"/>
          </w:tblCellMar>
        </w:tblPrEx>
        <w:trPr>
          <w:gridAfter w:val="1"/>
          <w:wAfter w:w="50" w:type="dxa"/>
          <w:trHeight w:val="498"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柳州市儿童福利院</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全额拨款</w:t>
            </w:r>
          </w:p>
        </w:tc>
      </w:tr>
      <w:tr>
        <w:tblPrEx>
          <w:tblLayout w:type="fixed"/>
          <w:tblCellMar>
            <w:top w:w="15" w:type="dxa"/>
            <w:left w:w="15" w:type="dxa"/>
            <w:bottom w:w="15" w:type="dxa"/>
            <w:right w:w="15" w:type="dxa"/>
          </w:tblCellMar>
        </w:tblPrEx>
        <w:trPr>
          <w:gridAfter w:val="1"/>
          <w:wAfter w:w="50" w:type="dxa"/>
          <w:trHeight w:val="536"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柳州市低收入居民家庭经济状况核对中心</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全额拨款</w:t>
            </w:r>
          </w:p>
        </w:tc>
      </w:tr>
      <w:tr>
        <w:tblPrEx>
          <w:tblLayout w:type="fixed"/>
          <w:tblCellMar>
            <w:top w:w="15" w:type="dxa"/>
            <w:left w:w="15" w:type="dxa"/>
            <w:bottom w:w="15" w:type="dxa"/>
            <w:right w:w="15" w:type="dxa"/>
          </w:tblCellMar>
        </w:tblPrEx>
        <w:trPr>
          <w:gridAfter w:val="1"/>
          <w:wAfter w:w="50" w:type="dxa"/>
          <w:trHeight w:val="547"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柳州市社会福利医院</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差额拨款</w:t>
            </w:r>
          </w:p>
        </w:tc>
      </w:tr>
      <w:tr>
        <w:tblPrEx>
          <w:tblLayout w:type="fixed"/>
          <w:tblCellMar>
            <w:top w:w="15" w:type="dxa"/>
            <w:left w:w="15" w:type="dxa"/>
            <w:bottom w:w="15" w:type="dxa"/>
            <w:right w:w="15" w:type="dxa"/>
          </w:tblCellMar>
        </w:tblPrEx>
        <w:trPr>
          <w:gridAfter w:val="1"/>
          <w:wAfter w:w="50" w:type="dxa"/>
          <w:trHeight w:val="406"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柳州市殡葬管理处</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自收自支</w:t>
            </w:r>
          </w:p>
        </w:tc>
      </w:tr>
      <w:tr>
        <w:tblPrEx>
          <w:tblLayout w:type="fixed"/>
          <w:tblCellMar>
            <w:top w:w="15" w:type="dxa"/>
            <w:left w:w="15" w:type="dxa"/>
            <w:bottom w:w="15" w:type="dxa"/>
            <w:right w:w="15" w:type="dxa"/>
          </w:tblCellMar>
        </w:tblPrEx>
        <w:trPr>
          <w:gridAfter w:val="1"/>
          <w:wAfter w:w="50" w:type="dxa"/>
          <w:trHeight w:val="505"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柳州市烈士陵园公墓管理处</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自收自支</w:t>
            </w:r>
          </w:p>
        </w:tc>
      </w:tr>
      <w:tr>
        <w:tblPrEx>
          <w:tblLayout w:type="fixed"/>
          <w:tblCellMar>
            <w:top w:w="15" w:type="dxa"/>
            <w:left w:w="15" w:type="dxa"/>
            <w:bottom w:w="15" w:type="dxa"/>
            <w:right w:w="15" w:type="dxa"/>
          </w:tblCellMar>
        </w:tblPrEx>
        <w:trPr>
          <w:trHeight w:val="30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柳州市社会福利有奖募捐办公室</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sz w:val="24"/>
              </w:rPr>
            </w:pPr>
            <w:r>
              <w:rPr>
                <w:rFonts w:hint="eastAsia" w:ascii="仿宋_GB2312" w:hAnsi="仿宋" w:eastAsia="仿宋_GB2312"/>
                <w:sz w:val="24"/>
              </w:rPr>
              <w:t>自收自支</w:t>
            </w:r>
          </w:p>
        </w:tc>
        <w:tc>
          <w:tcPr>
            <w:tcW w:w="50" w:type="dxa"/>
            <w:vAlign w:val="center"/>
          </w:tcPr>
          <w:p>
            <w:pPr>
              <w:spacing w:beforeLines="10" w:afterLines="10" w:line="500" w:lineRule="exact"/>
              <w:textAlignment w:val="center"/>
              <w:rPr>
                <w:rFonts w:ascii="仿宋_GB2312" w:hAnsi="仿宋" w:eastAsia="仿宋_GB2312"/>
                <w:sz w:val="32"/>
                <w:szCs w:val="32"/>
              </w:rPr>
            </w:pPr>
          </w:p>
        </w:tc>
      </w:tr>
    </w:tbl>
    <w:p/>
    <w:p>
      <w:pPr>
        <w:jc w:val="both"/>
      </w:pPr>
    </w:p>
    <w:p>
      <w:pPr>
        <w:ind w:firstLine="0"/>
        <w:jc w:val="both"/>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柳州市民政局</w:t>
      </w:r>
      <w:r>
        <w:rPr>
          <w:rFonts w:hint="eastAsia" w:ascii="仿宋_GB2312" w:eastAsia="仿宋_GB2312"/>
          <w:b/>
          <w:sz w:val="32"/>
          <w:szCs w:val="32"/>
          <w:u w:val="none"/>
        </w:rPr>
        <w:t xml:space="preserve"> </w:t>
      </w:r>
      <w:r>
        <w:rPr>
          <w:rFonts w:hint="eastAsia" w:ascii="仿宋_GB2312" w:eastAsia="仿宋_GB2312"/>
          <w:b/>
          <w:sz w:val="32"/>
          <w:szCs w:val="32"/>
          <w:u w:val="none"/>
          <w:lang w:eastAsia="zh-CN"/>
        </w:rPr>
        <w:t>20</w:t>
      </w:r>
      <w:r>
        <w:rPr>
          <w:rFonts w:hint="eastAsia" w:ascii="仿宋_GB2312" w:eastAsia="仿宋_GB2312"/>
          <w:b/>
          <w:sz w:val="32"/>
          <w:szCs w:val="32"/>
          <w:lang w:eastAsia="zh-CN"/>
        </w:rPr>
        <w:t>1</w:t>
      </w:r>
      <w:r>
        <w:rPr>
          <w:rFonts w:hint="eastAsia" w:ascii="仿宋_GB2312" w:eastAsia="仿宋_GB2312"/>
          <w:b/>
          <w:sz w:val="32"/>
          <w:szCs w:val="32"/>
          <w:lang w:val="en-US" w:eastAsia="zh-CN"/>
        </w:rPr>
        <w:t>9</w:t>
      </w:r>
      <w:r>
        <w:rPr>
          <w:rFonts w:hint="eastAsia" w:ascii="仿宋_GB2312" w:eastAsia="仿宋_GB2312"/>
          <w:b/>
          <w:sz w:val="32"/>
          <w:szCs w:val="32"/>
        </w:rPr>
        <w:t>年部门决算报表</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pPr>
        <w:jc w:val="center"/>
        <w:rPr>
          <w:rFonts w:hint="eastAsia"/>
        </w:rPr>
      </w:pPr>
    </w:p>
    <w:p>
      <w:pPr>
        <w:rPr>
          <w:rFonts w:hint="eastAsia"/>
        </w:rPr>
      </w:pPr>
    </w:p>
    <w:tbl>
      <w:tblPr>
        <w:tblStyle w:val="6"/>
        <w:tblW w:w="8720" w:type="dxa"/>
        <w:jc w:val="center"/>
        <w:tblInd w:w="0" w:type="dxa"/>
        <w:tblLayout w:type="fixed"/>
        <w:tblCellMar>
          <w:top w:w="0" w:type="dxa"/>
          <w:left w:w="108" w:type="dxa"/>
          <w:bottom w:w="0" w:type="dxa"/>
          <w:right w:w="108" w:type="dxa"/>
        </w:tblCellMar>
      </w:tblPr>
      <w:tblGrid>
        <w:gridCol w:w="2895"/>
        <w:gridCol w:w="1199"/>
        <w:gridCol w:w="3009"/>
        <w:gridCol w:w="1552"/>
        <w:gridCol w:w="65"/>
      </w:tblGrid>
      <w:tr>
        <w:tblPrEx>
          <w:tblLayout w:type="fixed"/>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Layout w:type="fixed"/>
          <w:tblCellMar>
            <w:top w:w="0" w:type="dxa"/>
            <w:left w:w="108" w:type="dxa"/>
            <w:bottom w:w="0" w:type="dxa"/>
            <w:right w:w="108" w:type="dxa"/>
          </w:tblCellMar>
        </w:tblPrEx>
        <w:trPr>
          <w:trHeight w:val="270" w:hRule="atLeast"/>
          <w:jc w:val="center"/>
        </w:trPr>
        <w:tc>
          <w:tcPr>
            <w:tcW w:w="4094"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62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19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0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一、</w:t>
            </w:r>
            <w:r>
              <w:rPr>
                <w:rFonts w:hint="eastAsia" w:ascii="宋体" w:hAnsi="宋体" w:cs="宋体"/>
                <w:color w:val="000000"/>
                <w:kern w:val="0"/>
                <w:sz w:val="22"/>
                <w:szCs w:val="22"/>
                <w:lang w:eastAsia="zh-CN"/>
              </w:rPr>
              <w:t>一般公共预算财政拨款收入</w:t>
            </w:r>
          </w:p>
        </w:tc>
        <w:tc>
          <w:tcPr>
            <w:tcW w:w="119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26143.15 </w:t>
            </w:r>
          </w:p>
        </w:tc>
        <w:tc>
          <w:tcPr>
            <w:tcW w:w="300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八、社会保障和就业支出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25041.97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二、</w:t>
            </w:r>
            <w:r>
              <w:rPr>
                <w:rFonts w:hint="eastAsia" w:ascii="宋体" w:hAnsi="宋体" w:cs="宋体"/>
                <w:color w:val="000000"/>
                <w:kern w:val="0"/>
                <w:sz w:val="22"/>
                <w:szCs w:val="22"/>
                <w:lang w:eastAsia="zh-CN"/>
              </w:rPr>
              <w:t>政府性基金预算财政拨款收入</w:t>
            </w:r>
          </w:p>
        </w:tc>
        <w:tc>
          <w:tcPr>
            <w:tcW w:w="119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3106.49 </w:t>
            </w:r>
          </w:p>
        </w:tc>
        <w:tc>
          <w:tcPr>
            <w:tcW w:w="300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九、卫生健康支出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1909.00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三</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上级补助</w:t>
            </w:r>
            <w:r>
              <w:rPr>
                <w:rFonts w:hint="eastAsia" w:ascii="宋体" w:hAnsi="宋体" w:cs="宋体"/>
                <w:color w:val="000000"/>
                <w:kern w:val="0"/>
                <w:sz w:val="22"/>
                <w:szCs w:val="22"/>
              </w:rPr>
              <w:t>收入</w:t>
            </w:r>
          </w:p>
        </w:tc>
        <w:tc>
          <w:tcPr>
            <w:tcW w:w="119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65.66 </w:t>
            </w:r>
          </w:p>
        </w:tc>
        <w:tc>
          <w:tcPr>
            <w:tcW w:w="300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十一、城乡社区支出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20.00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四</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事业</w:t>
            </w:r>
            <w:r>
              <w:rPr>
                <w:rFonts w:hint="eastAsia" w:ascii="宋体" w:hAnsi="宋体" w:cs="宋体"/>
                <w:color w:val="000000"/>
                <w:kern w:val="0"/>
                <w:sz w:val="22"/>
                <w:szCs w:val="22"/>
              </w:rPr>
              <w:t>收入</w:t>
            </w:r>
          </w:p>
        </w:tc>
        <w:tc>
          <w:tcPr>
            <w:tcW w:w="119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1948.34 </w:t>
            </w:r>
          </w:p>
        </w:tc>
        <w:tc>
          <w:tcPr>
            <w:tcW w:w="300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十九、住房保障支出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411.82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五</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经营</w:t>
            </w:r>
            <w:r>
              <w:rPr>
                <w:rFonts w:hint="eastAsia" w:ascii="宋体" w:hAnsi="宋体" w:cs="宋体"/>
                <w:color w:val="000000"/>
                <w:kern w:val="0"/>
                <w:sz w:val="22"/>
                <w:szCs w:val="22"/>
              </w:rPr>
              <w:t>收入</w:t>
            </w:r>
          </w:p>
        </w:tc>
        <w:tc>
          <w:tcPr>
            <w:tcW w:w="119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0.00 </w:t>
            </w:r>
          </w:p>
        </w:tc>
        <w:tc>
          <w:tcPr>
            <w:tcW w:w="300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二十、粮油物资储备支出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1040.00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六、附属单位上缴收入</w:t>
            </w:r>
          </w:p>
        </w:tc>
        <w:tc>
          <w:tcPr>
            <w:tcW w:w="119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0.00 </w:t>
            </w:r>
          </w:p>
        </w:tc>
        <w:tc>
          <w:tcPr>
            <w:tcW w:w="300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460.61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七</w:t>
            </w:r>
            <w:r>
              <w:rPr>
                <w:rFonts w:hint="eastAsia" w:ascii="宋体" w:hAnsi="宋体" w:cs="宋体"/>
                <w:color w:val="000000"/>
                <w:kern w:val="0"/>
                <w:sz w:val="22"/>
                <w:szCs w:val="22"/>
              </w:rPr>
              <w:t>、其他收入</w:t>
            </w:r>
          </w:p>
        </w:tc>
        <w:tc>
          <w:tcPr>
            <w:tcW w:w="119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2284.98 </w:t>
            </w:r>
          </w:p>
        </w:tc>
        <w:tc>
          <w:tcPr>
            <w:tcW w:w="300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二十二、其他支出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2597.09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0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19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33548.63 </w:t>
            </w:r>
          </w:p>
        </w:tc>
        <w:tc>
          <w:tcPr>
            <w:tcW w:w="3009"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31480.63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19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0.00 </w:t>
            </w:r>
          </w:p>
        </w:tc>
        <w:tc>
          <w:tcPr>
            <w:tcW w:w="30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83.37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　年</w:t>
            </w:r>
            <w:r>
              <w:rPr>
                <w:rFonts w:hint="eastAsia" w:ascii="宋体" w:hAnsi="宋体" w:cs="宋体"/>
                <w:color w:val="000000"/>
                <w:kern w:val="0"/>
                <w:sz w:val="22"/>
                <w:szCs w:val="22"/>
                <w:lang w:eastAsia="zh-CN"/>
              </w:rPr>
              <w:t>初</w:t>
            </w:r>
            <w:r>
              <w:rPr>
                <w:rFonts w:hint="eastAsia" w:ascii="宋体" w:hAnsi="宋体" w:cs="宋体"/>
                <w:color w:val="000000"/>
                <w:kern w:val="0"/>
                <w:sz w:val="22"/>
                <w:szCs w:val="22"/>
              </w:rPr>
              <w:t>结转</w:t>
            </w:r>
            <w:r>
              <w:rPr>
                <w:rFonts w:hint="eastAsia" w:ascii="宋体" w:hAnsi="宋体" w:cs="宋体"/>
                <w:color w:val="000000"/>
                <w:kern w:val="0"/>
                <w:sz w:val="22"/>
                <w:szCs w:val="22"/>
                <w:lang w:eastAsia="zh-CN"/>
              </w:rPr>
              <w:t>和结余</w:t>
            </w:r>
          </w:p>
        </w:tc>
        <w:tc>
          <w:tcPr>
            <w:tcW w:w="119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9152.64 </w:t>
            </w:r>
          </w:p>
        </w:tc>
        <w:tc>
          <w:tcPr>
            <w:tcW w:w="30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11137.26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9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0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19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42701.27 </w:t>
            </w:r>
          </w:p>
        </w:tc>
        <w:tc>
          <w:tcPr>
            <w:tcW w:w="3009"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w:t>
            </w:r>
            <w:r>
              <w:rPr>
                <w:rFonts w:hint="eastAsia" w:ascii="宋体" w:hAnsi="宋体" w:cs="宋体"/>
                <w:b w:val="0"/>
                <w:bCs/>
                <w:color w:val="000000"/>
                <w:kern w:val="0"/>
                <w:sz w:val="22"/>
                <w:szCs w:val="22"/>
              </w:rPr>
              <w:t>42701.27</w:t>
            </w:r>
          </w:p>
        </w:tc>
      </w:tr>
    </w:tbl>
    <w:p>
      <w:pPr>
        <w:rPr>
          <w:rFonts w:hint="eastAsia" w:eastAsia="宋体"/>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lang w:eastAsia="zh-CN"/>
        </w:rPr>
        <w:t>注：本表反映部门本年度的总收支和年末结转结余情况。</w:t>
      </w:r>
    </w:p>
    <w:p>
      <w:pPr>
        <w:jc w:val="center"/>
        <w:rPr>
          <w:rFonts w:hint="eastAsia"/>
        </w:rPr>
      </w:pPr>
      <w:r>
        <w:rPr>
          <w:rFonts w:hint="eastAsia" w:ascii="方正小标宋简体" w:hAnsi="宋体" w:eastAsia="方正小标宋简体" w:cs="宋体"/>
          <w:kern w:val="0"/>
          <w:sz w:val="36"/>
          <w:szCs w:val="36"/>
        </w:rPr>
        <w:t>表二：收入决算表</w:t>
      </w:r>
    </w:p>
    <w:p>
      <w:pPr>
        <w:jc w:val="right"/>
        <w:rPr>
          <w:rFonts w:hint="eastAsia"/>
          <w:sz w:val="22"/>
          <w:szCs w:val="22"/>
        </w:rPr>
      </w:pPr>
      <w:r>
        <w:rPr>
          <w:rFonts w:hint="eastAsia"/>
          <w:sz w:val="22"/>
          <w:szCs w:val="22"/>
        </w:rPr>
        <w:t xml:space="preserve">单位：万元 </w:t>
      </w:r>
    </w:p>
    <w:tbl>
      <w:tblPr>
        <w:tblStyle w:val="6"/>
        <w:tblW w:w="14002" w:type="dxa"/>
        <w:tblInd w:w="0" w:type="dxa"/>
        <w:shd w:val="clear" w:color="auto" w:fill="auto"/>
        <w:tblLayout w:type="fixed"/>
        <w:tblCellMar>
          <w:top w:w="0" w:type="dxa"/>
          <w:left w:w="0" w:type="dxa"/>
          <w:bottom w:w="0" w:type="dxa"/>
          <w:right w:w="0" w:type="dxa"/>
        </w:tblCellMar>
      </w:tblPr>
      <w:tblGrid>
        <w:gridCol w:w="485"/>
        <w:gridCol w:w="483"/>
        <w:gridCol w:w="442"/>
        <w:gridCol w:w="2730"/>
        <w:gridCol w:w="1707"/>
        <w:gridCol w:w="1569"/>
        <w:gridCol w:w="1345"/>
        <w:gridCol w:w="1414"/>
        <w:gridCol w:w="1293"/>
        <w:gridCol w:w="1241"/>
        <w:gridCol w:w="1293"/>
      </w:tblGrid>
      <w:tr>
        <w:tblPrEx>
          <w:shd w:val="clear" w:color="auto" w:fill="auto"/>
          <w:tblLayout w:type="fixed"/>
          <w:tblCellMar>
            <w:top w:w="0" w:type="dxa"/>
            <w:left w:w="0" w:type="dxa"/>
            <w:bottom w:w="0" w:type="dxa"/>
            <w:right w:w="0" w:type="dxa"/>
          </w:tblCellMar>
        </w:tblPrEx>
        <w:trPr>
          <w:trHeight w:val="9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支出功能分类科目编码</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7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上缴收入</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Layout w:type="fixed"/>
          <w:tblCellMar>
            <w:top w:w="0" w:type="dxa"/>
            <w:left w:w="0" w:type="dxa"/>
            <w:bottom w:w="0" w:type="dxa"/>
            <w:right w:w="0" w:type="dxa"/>
          </w:tblCellMar>
        </w:tblPrEx>
        <w:trPr>
          <w:trHeight w:val="480" w:hRule="atLeast"/>
        </w:trPr>
        <w:tc>
          <w:tcPr>
            <w:tcW w:w="4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4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44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7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Layout w:type="fixed"/>
          <w:tblCellMar>
            <w:top w:w="0" w:type="dxa"/>
            <w:left w:w="0" w:type="dxa"/>
            <w:bottom w:w="0" w:type="dxa"/>
            <w:right w:w="0" w:type="dxa"/>
          </w:tblCellMar>
        </w:tblPrEx>
        <w:trPr>
          <w:trHeight w:val="48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33548.63</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29249.65</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65.66</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1948.34</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2284.98</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教育管理事务</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2050101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26659.30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22360.32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65.66</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1948.34</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2284.98</w:t>
            </w:r>
          </w:p>
        </w:tc>
      </w:tr>
      <w:tr>
        <w:tblPrEx>
          <w:tblLayout w:type="fixed"/>
          <w:tblCellMar>
            <w:top w:w="0" w:type="dxa"/>
            <w:left w:w="0" w:type="dxa"/>
            <w:bottom w:w="0" w:type="dxa"/>
            <w:right w:w="0" w:type="dxa"/>
          </w:tblCellMar>
        </w:tblPrEx>
        <w:trPr>
          <w:trHeight w:val="502"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民政管理事务</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3741.20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3080.72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660.40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1876.10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1644.54</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231.49</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261.71</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261.71</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2080206</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民间组织管理</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25.72</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2080207</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行政区划和地名管理</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154.50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154.50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2080208</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基层政权和社区建设</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459.42</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459.42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2080299</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其他民政管理事务支出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963.75</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534.84</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428.92</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891.48</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891.48</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216.58</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216.58</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116.19</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116.19</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540.43</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540.43</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18.28</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18.28</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232.20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232.20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死亡抚恤</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伤残抚恤</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2080804</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优抚事业单位支出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退役安置</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7651.48</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6488.60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1162.88</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2080901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退役士兵安置</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397.17</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397.17</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2080902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军队移交政府的离退休人员安置</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6183.10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5020.22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1162.88</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2080903</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军队移交政府离退休干部管理机构</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1038.31</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1038.31</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2080904</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退役士兵管理教育</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32.91</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32.91</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社会福利</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12426.84</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10028.12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1948.34</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447.74</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儿童福利</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2153.32</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2088.95</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64.37</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老年福利</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1813.17</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1553.48</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259.69</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2081004</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殡葬</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4363.85</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4336.33</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27.52</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2081005</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社会福利事业单位</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3596.50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1549.36</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1948.34</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96.16</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2081099</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其他社会福利支出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残疾人事业</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2081199</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其他残疾人事业支出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20816</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红十字事业</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199.71</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199.71</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2081699</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其他红十字事业支出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199.71</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199.71</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836.96</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760.06</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62.94</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2082002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流浪乞讨人员救助支出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836.96</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760.06</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62.94</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20825</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其他生活救助</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10.62</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2082502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其他农村生活救助</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10.62</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退役军人管理事务</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508.80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508.80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2082801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2082804</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拥军优属</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336.09</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336.09</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2082805</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部队供应</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171.19</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171.19</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其他社会保障和就业支出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2089901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1839.59</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1839.59</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73.85</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73.85</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2100409</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重大公共卫生专项</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73.85</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73.85</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863.30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863.30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131.66</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131.66</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112.92</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112.92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605.26</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605.26</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2101199</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其他行政事业单位医疗支出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13.46</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13.46</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21016</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老龄卫生健康事务</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902.44</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902.44</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2101601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老龄卫生健康事务</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902.44</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902.44</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城乡社区规划与管理</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2120201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城乡社区规划与管理</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411.82</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411.82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411.82</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411.82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407.63</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407.63</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购房补贴</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4.19</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4.19</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粮油物资储备支出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1040.00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22205</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重要商品储备</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1040.00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2220599</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其他重要商品储备支出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1040.00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灾害防治及应急管理支出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460.61</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460.61</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自然灾害救灾及恢复重建支出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460.61</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460.61</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2240702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地方自然灾害生活补助</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460.61</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460.61</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3117.16</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3117.16</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22908</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彩票发行销售机构业务费安排的支出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1327.53</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1327.53</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2290804</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福利彩票销售机构的业务费支出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1327.53</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1327.53</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彩票公益金安排的支出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1778.96</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1778.96</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2296002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用于社会福利的彩票公益金支出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1778.96</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1778.96</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299"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10.66</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10.66</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480" w:hRule="atLeast"/>
        </w:trPr>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2299901</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10.66</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10.66</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rPr>
          <w:rFonts w:hint="eastAsia" w:eastAsia="宋体"/>
          <w:lang w:eastAsia="zh-CN"/>
        </w:rPr>
      </w:pPr>
      <w:r>
        <w:rPr>
          <w:rFonts w:hint="eastAsia"/>
          <w:lang w:eastAsia="zh-CN"/>
        </w:rPr>
        <w:t>注：本表反映部门本年度取得的各项收入情况。</w:t>
      </w:r>
    </w:p>
    <w:p>
      <w:pPr>
        <w:rPr>
          <w:rFonts w:hint="eastAsia"/>
        </w:rPr>
      </w:pPr>
    </w:p>
    <w:p>
      <w:pPr>
        <w:jc w:val="center"/>
        <w:rPr>
          <w:rFonts w:hint="eastAsia"/>
        </w:rPr>
      </w:pPr>
      <w:r>
        <w:rPr>
          <w:rFonts w:hint="eastAsia" w:ascii="方正小标宋简体" w:hAnsi="宋体" w:eastAsia="方正小标宋简体" w:cs="宋体"/>
          <w:kern w:val="0"/>
          <w:sz w:val="36"/>
          <w:szCs w:val="36"/>
        </w:rPr>
        <w:t>表三：支出决算表</w:t>
      </w:r>
    </w:p>
    <w:p>
      <w:pPr>
        <w:jc w:val="right"/>
        <w:rPr>
          <w:rFonts w:hint="eastAsia"/>
        </w:rPr>
      </w:pPr>
      <w:r>
        <w:rPr>
          <w:rFonts w:hint="eastAsia"/>
          <w:sz w:val="22"/>
          <w:szCs w:val="22"/>
        </w:rPr>
        <w:t>单位：万元</w:t>
      </w:r>
    </w:p>
    <w:tbl>
      <w:tblPr>
        <w:tblStyle w:val="6"/>
        <w:tblW w:w="14095" w:type="dxa"/>
        <w:jc w:val="center"/>
        <w:tblInd w:w="0" w:type="dxa"/>
        <w:tblLayout w:type="fixed"/>
        <w:tblCellMar>
          <w:top w:w="0" w:type="dxa"/>
          <w:left w:w="108" w:type="dxa"/>
          <w:bottom w:w="0" w:type="dxa"/>
          <w:right w:w="108" w:type="dxa"/>
        </w:tblCellMar>
      </w:tblPr>
      <w:tblGrid>
        <w:gridCol w:w="93"/>
        <w:gridCol w:w="1087"/>
        <w:gridCol w:w="36"/>
        <w:gridCol w:w="2231"/>
        <w:gridCol w:w="45"/>
        <w:gridCol w:w="1485"/>
        <w:gridCol w:w="67"/>
        <w:gridCol w:w="1775"/>
        <w:gridCol w:w="87"/>
        <w:gridCol w:w="1614"/>
        <w:gridCol w:w="75"/>
        <w:gridCol w:w="1626"/>
        <w:gridCol w:w="64"/>
        <w:gridCol w:w="1779"/>
        <w:gridCol w:w="66"/>
        <w:gridCol w:w="1919"/>
        <w:gridCol w:w="46"/>
      </w:tblGrid>
      <w:tr>
        <w:tblPrEx>
          <w:tblLayout w:type="fixed"/>
          <w:tblCellMar>
            <w:top w:w="0" w:type="dxa"/>
            <w:left w:w="108" w:type="dxa"/>
            <w:bottom w:w="0" w:type="dxa"/>
            <w:right w:w="108" w:type="dxa"/>
          </w:tblCellMar>
        </w:tblPrEx>
        <w:trPr>
          <w:gridAfter w:val="1"/>
          <w:wAfter w:w="46" w:type="dxa"/>
          <w:trHeight w:val="288" w:hRule="atLeast"/>
          <w:jc w:val="center"/>
        </w:trPr>
        <w:tc>
          <w:tcPr>
            <w:tcW w:w="344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支出功能</w:t>
            </w:r>
            <w:r>
              <w:rPr>
                <w:rFonts w:hint="eastAsia" w:ascii="宋体" w:hAnsi="宋体" w:cs="Arial"/>
                <w:kern w:val="0"/>
                <w:sz w:val="22"/>
                <w:szCs w:val="22"/>
              </w:rPr>
              <w:t>项 目</w:t>
            </w:r>
          </w:p>
        </w:tc>
        <w:tc>
          <w:tcPr>
            <w:tcW w:w="15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84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8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Layout w:type="fixed"/>
          <w:tblCellMar>
            <w:top w:w="0" w:type="dxa"/>
            <w:left w:w="108" w:type="dxa"/>
            <w:bottom w:w="0" w:type="dxa"/>
            <w:right w:w="108" w:type="dxa"/>
          </w:tblCellMar>
        </w:tblPrEx>
        <w:trPr>
          <w:gridAfter w:val="1"/>
          <w:wAfter w:w="46" w:type="dxa"/>
          <w:trHeight w:val="288" w:hRule="atLeast"/>
          <w:jc w:val="center"/>
        </w:trPr>
        <w:tc>
          <w:tcPr>
            <w:tcW w:w="1180"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lang w:eastAsia="zh-CN"/>
              </w:rPr>
              <w:t>支出功能分类</w:t>
            </w:r>
            <w:r>
              <w:rPr>
                <w:rFonts w:hint="eastAsia" w:ascii="宋体" w:hAnsi="宋体" w:cs="Arial"/>
                <w:kern w:val="0"/>
                <w:sz w:val="22"/>
                <w:szCs w:val="22"/>
              </w:rPr>
              <w:t>科目编码</w:t>
            </w:r>
          </w:p>
        </w:tc>
        <w:tc>
          <w:tcPr>
            <w:tcW w:w="2267"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Layout w:type="fixed"/>
          <w:tblCellMar>
            <w:top w:w="0" w:type="dxa"/>
            <w:left w:w="108" w:type="dxa"/>
            <w:bottom w:w="0" w:type="dxa"/>
            <w:right w:w="108" w:type="dxa"/>
          </w:tblCellMar>
        </w:tblPrEx>
        <w:trPr>
          <w:gridAfter w:val="1"/>
          <w:wAfter w:w="46" w:type="dxa"/>
          <w:trHeight w:val="288" w:hRule="atLeast"/>
          <w:jc w:val="center"/>
        </w:trPr>
        <w:tc>
          <w:tcPr>
            <w:tcW w:w="3447" w:type="dxa"/>
            <w:gridSpan w:val="4"/>
            <w:tcBorders>
              <w:top w:val="single" w:color="auto" w:sz="4" w:space="0"/>
              <w:left w:val="single" w:color="auto" w:sz="4" w:space="0"/>
              <w:bottom w:val="single" w:color="auto" w:sz="4" w:space="0"/>
              <w:right w:val="single" w:color="auto" w:sz="4" w:space="0"/>
            </w:tcBorders>
            <w:vAlign w:val="top"/>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530" w:type="dxa"/>
            <w:gridSpan w:val="2"/>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842" w:type="dxa"/>
            <w:gridSpan w:val="2"/>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1" w:type="dxa"/>
            <w:gridSpan w:val="2"/>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1" w:type="dxa"/>
            <w:gridSpan w:val="2"/>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gridSpan w:val="2"/>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85" w:type="dxa"/>
            <w:gridSpan w:val="2"/>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Layout w:type="fixed"/>
          <w:tblCellMar>
            <w:top w:w="0" w:type="dxa"/>
            <w:left w:w="108" w:type="dxa"/>
            <w:bottom w:w="0" w:type="dxa"/>
            <w:right w:w="108" w:type="dxa"/>
          </w:tblCellMar>
        </w:tblPrEx>
        <w:trPr>
          <w:gridAfter w:val="1"/>
          <w:wAfter w:w="46" w:type="dxa"/>
          <w:trHeight w:val="288" w:hRule="atLeast"/>
          <w:jc w:val="center"/>
        </w:trPr>
        <w:tc>
          <w:tcPr>
            <w:tcW w:w="3447" w:type="dxa"/>
            <w:gridSpan w:val="4"/>
            <w:tcBorders>
              <w:top w:val="single" w:color="auto" w:sz="4" w:space="0"/>
              <w:left w:val="single" w:color="auto" w:sz="4" w:space="0"/>
              <w:bottom w:val="single" w:color="auto" w:sz="4" w:space="0"/>
              <w:right w:val="single" w:color="auto" w:sz="4" w:space="0"/>
            </w:tcBorders>
            <w:vAlign w:val="top"/>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53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31480.63 </w:t>
            </w:r>
          </w:p>
        </w:tc>
        <w:tc>
          <w:tcPr>
            <w:tcW w:w="1842"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10224.53 </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21256.11 </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843"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c>
          <w:tcPr>
            <w:tcW w:w="198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 xml:space="preserve">0.00 </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20501</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教育管理事务</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2050101</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25,041.97</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8,860.96</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16,181.00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民政管理事务</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3,865.48</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1,940.62</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1,924.86</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2080201</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1,807.73</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1,807.73</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2080202</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281.51</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35.48</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246.03</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2080206</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民间组织管理</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28.87</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28.87</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2080207</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行政区划和地名管理</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130.06</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130.06</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2080208</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基层政权和社区建设</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459.42</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459.42</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2080299</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其他民政管理事务支出</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1,157.89</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97.40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1,060.49</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877.41</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877.41</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216.37</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216.37</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115.56</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115.56</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527.20</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527.20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18.28</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18.28</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98.30</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98.30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死亡抚恤</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2080802</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伤残抚恤</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2080804</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优抚事业单位支出</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78.06</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78.06</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退役安置</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7,397.02</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1,038.77</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6,358.24</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2080901</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退役士兵安置</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424.45</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424.45</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2080902</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军队移交政府的离退休人员安置</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6,485.52</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871.99</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5,613.54</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2080903</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军队移交政府离退休干部管理机构</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451.74</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166.79</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284.95</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2080904</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退役士兵管理教育</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35.30</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社会福利</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11,511.23</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4,933.15</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6,578.08</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2081001</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儿童福利</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1,831.73</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914.45</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917.27</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2081002</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老年福利</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1,713.63</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751.06</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962.57</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2081004</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殡葬</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4,329.32</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212.50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4,116.82</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2081005</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社会福利事业单位</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3,136.55</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3,055.14</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81.41</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2081099</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其他社会福利支出</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残疾人事业</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160.00</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2081199</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其他残疾人事业支出</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160.00</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20816</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红十字事业</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6.90</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2081699</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其他红十字事业支出</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6.90</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585.39</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69.49</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515.90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2082002</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流浪乞讨人员救助支出</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585.39</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69.49</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515.90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20825</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其他生活救助</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10.62</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10.62</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2082502</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其他农村生活救助</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10.62</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10.62</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退役军人管理事务</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528.94</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527.41</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2082801</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2082804</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拥军优属</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341.15</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341.15</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2082805</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部队供应</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186.26</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186.26</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其他社会保障和就业支出</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0.69</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0.69</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2089901</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0.69</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0.69</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1,909.00</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948.28</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960.72</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公立医院</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5.95</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5.95</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2100205</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精神病医院</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5.95</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5.95</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85.00</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20.42</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64.58</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2100409</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重大公共卫生专项</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85.00</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20.42</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64.58</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921.91</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921.91</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130.52</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130.52</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111.04</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111.04</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676.77</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676.77</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2101199</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其他行政事业单位医疗支出</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21016</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老龄卫生健康事务</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896.14</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896.14</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2101601</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老龄卫生健康事务</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896.14</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896.14</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21202</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城乡社区规划与管理</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2120201</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城乡社区规划与管理</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411.82</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411.82</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411.82</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411.82</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407.63</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407.63</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购房补贴</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4.19</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4.19</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粮油物资储备支出</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1,040.00</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1,040.00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22205</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重要商品储备</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1,040.00</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1,040.00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2220599</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其他重要商品储备支出</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1,040.00</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1,040.00</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灾害防治及应急管理支出</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460.61</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460.61</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自然灾害救灾及恢复重建支出</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460.61</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460.61</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2240702</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地方自然灾害生活补助</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460.61</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460.61</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2,597.09</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2,593.78</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22908</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彩票发行销售机构业务费安排的支出</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1,312.42</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1,312.42</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2290804</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福利彩票销售机构的业务费支出</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1,312.42</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1,312.42</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彩票公益金安排的支出</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1,274.01</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1,270.69</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2296002</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用于社会福利的彩票公益金支出</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1,274.01</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1,270.69</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w:t>
            </w:r>
          </w:p>
        </w:tc>
        <w:tc>
          <w:tcPr>
            <w:tcW w:w="2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5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10.66</w:t>
            </w:r>
          </w:p>
        </w:tc>
        <w:tc>
          <w:tcPr>
            <w:tcW w:w="18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10.66</w:t>
            </w:r>
          </w:p>
        </w:tc>
        <w:tc>
          <w:tcPr>
            <w:tcW w:w="16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Before w:val="1"/>
          <w:wBefore w:w="93" w:type="dxa"/>
          <w:trHeight w:val="308" w:hRule="atLeast"/>
          <w:jc w:val="center"/>
        </w:trPr>
        <w:tc>
          <w:tcPr>
            <w:tcW w:w="1123" w:type="dxa"/>
            <w:gridSpan w:val="2"/>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2299901</w:t>
            </w:r>
          </w:p>
        </w:tc>
        <w:tc>
          <w:tcPr>
            <w:tcW w:w="2276" w:type="dxa"/>
            <w:gridSpan w:val="2"/>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552" w:type="dxa"/>
            <w:gridSpan w:val="2"/>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10.66</w:t>
            </w:r>
          </w:p>
        </w:tc>
        <w:tc>
          <w:tcPr>
            <w:tcW w:w="1862" w:type="dxa"/>
            <w:gridSpan w:val="2"/>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9" w:type="dxa"/>
            <w:gridSpan w:val="2"/>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10.66</w:t>
            </w:r>
          </w:p>
        </w:tc>
        <w:tc>
          <w:tcPr>
            <w:tcW w:w="1690" w:type="dxa"/>
            <w:gridSpan w:val="2"/>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5" w:type="dxa"/>
            <w:gridSpan w:val="2"/>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rPr>
          <w:rFonts w:hint="eastAsia"/>
        </w:rPr>
      </w:pPr>
      <w:r>
        <w:rPr>
          <w:rFonts w:hint="eastAsia"/>
          <w:lang w:eastAsia="zh-CN"/>
        </w:rPr>
        <w:t>注：本表反映部门本年度各项支出情况。</w:t>
      </w:r>
    </w:p>
    <w:p>
      <w:pPr>
        <w:rPr>
          <w:rFonts w:hint="eastAsia"/>
        </w:rPr>
      </w:pPr>
    </w:p>
    <w:p>
      <w:pPr>
        <w:ind w:firstLine="3600" w:firstLineChars="1000"/>
        <w:jc w:val="both"/>
        <w:rPr>
          <w:rFonts w:hint="eastAsia"/>
        </w:rPr>
      </w:pPr>
      <w:r>
        <w:rPr>
          <w:rFonts w:hint="eastAsia" w:ascii="方正小标宋简体" w:hAnsi="宋体" w:eastAsia="方正小标宋简体" w:cs="宋体"/>
          <w:kern w:val="0"/>
          <w:sz w:val="36"/>
          <w:szCs w:val="36"/>
        </w:rPr>
        <w:t>表四：财政拨款收入支出决算总表</w:t>
      </w:r>
    </w:p>
    <w:tbl>
      <w:tblPr>
        <w:tblStyle w:val="6"/>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3493"/>
        <w:gridCol w:w="569"/>
        <w:gridCol w:w="1918"/>
        <w:gridCol w:w="3372"/>
        <w:gridCol w:w="681"/>
        <w:gridCol w:w="1267"/>
        <w:gridCol w:w="1149"/>
        <w:gridCol w:w="1316"/>
      </w:tblGrid>
      <w:tr>
        <w:tblPrEx>
          <w:tblLayout w:type="fixed"/>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Layout w:type="fixed"/>
          <w:tblCellMar>
            <w:top w:w="0" w:type="dxa"/>
            <w:left w:w="108" w:type="dxa"/>
            <w:bottom w:w="0" w:type="dxa"/>
            <w:right w:w="108" w:type="dxa"/>
          </w:tblCellMar>
        </w:tblPrEx>
        <w:trPr>
          <w:trHeight w:val="90" w:hRule="atLeast"/>
        </w:trPr>
        <w:tc>
          <w:tcPr>
            <w:tcW w:w="3493"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56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91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Layout w:type="fixed"/>
          <w:tblCellMar>
            <w:top w:w="0" w:type="dxa"/>
            <w:left w:w="108" w:type="dxa"/>
            <w:bottom w:w="0" w:type="dxa"/>
            <w:right w:w="108" w:type="dxa"/>
          </w:tblCellMar>
        </w:tblPrEx>
        <w:trPr>
          <w:trHeight w:val="288" w:hRule="atLeast"/>
        </w:trPr>
        <w:tc>
          <w:tcPr>
            <w:tcW w:w="3493"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569"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1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Layout w:type="fixed"/>
          <w:tblCellMar>
            <w:top w:w="0" w:type="dxa"/>
            <w:left w:w="108" w:type="dxa"/>
            <w:bottom w:w="0" w:type="dxa"/>
            <w:right w:w="108" w:type="dxa"/>
          </w:tblCellMar>
        </w:tblPrEx>
        <w:trPr>
          <w:trHeight w:val="288" w:hRule="atLeast"/>
        </w:trPr>
        <w:tc>
          <w:tcPr>
            <w:tcW w:w="349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一、一般公共预算财政拨款</w:t>
            </w:r>
            <w:r>
              <w:rPr>
                <w:rFonts w:hint="eastAsia" w:ascii="宋体" w:hAnsi="宋体" w:cs="Arial"/>
                <w:kern w:val="0"/>
                <w:sz w:val="22"/>
                <w:szCs w:val="22"/>
                <w:lang w:eastAsia="zh-CN"/>
              </w:rPr>
              <w:t>收入</w:t>
            </w:r>
          </w:p>
        </w:tc>
        <w:tc>
          <w:tcPr>
            <w:tcW w:w="56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9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26143.15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五、教育支出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Arial"/>
                <w:color w:val="000000"/>
                <w:kern w:val="0"/>
                <w:sz w:val="22"/>
                <w:szCs w:val="22"/>
                <w:lang w:val="en-US"/>
              </w:rPr>
            </w:pPr>
            <w:r>
              <w:rPr>
                <w:rFonts w:hint="eastAsia" w:ascii="宋体" w:hAnsi="宋体" w:cs="宋体"/>
                <w:i w:val="0"/>
                <w:color w:val="000000"/>
                <w:kern w:val="0"/>
                <w:sz w:val="22"/>
                <w:szCs w:val="22"/>
                <w:u w:val="none"/>
                <w:lang w:val="en-US" w:eastAsia="zh-CN" w:bidi="ar"/>
              </w:rPr>
              <w:t>18</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0.15</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0.15</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108" w:type="dxa"/>
            <w:bottom w:w="0" w:type="dxa"/>
            <w:right w:w="108" w:type="dxa"/>
          </w:tblCellMar>
        </w:tblPrEx>
        <w:trPr>
          <w:trHeight w:val="288" w:hRule="atLeast"/>
        </w:trPr>
        <w:tc>
          <w:tcPr>
            <w:tcW w:w="349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二、政府性基金预算财政拨款</w:t>
            </w:r>
            <w:r>
              <w:rPr>
                <w:rFonts w:hint="eastAsia" w:ascii="宋体" w:hAnsi="宋体" w:cs="Arial"/>
                <w:kern w:val="0"/>
                <w:sz w:val="22"/>
                <w:szCs w:val="22"/>
                <w:lang w:eastAsia="zh-CN"/>
              </w:rPr>
              <w:t>收入</w:t>
            </w:r>
          </w:p>
        </w:tc>
        <w:tc>
          <w:tcPr>
            <w:tcW w:w="56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9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3106.49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八、社会保障和就业支出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19</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21579.14</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21579.14</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108" w:type="dxa"/>
            <w:bottom w:w="0" w:type="dxa"/>
            <w:right w:w="108" w:type="dxa"/>
          </w:tblCellMar>
        </w:tblPrEx>
        <w:trPr>
          <w:trHeight w:val="288" w:hRule="atLeast"/>
        </w:trPr>
        <w:tc>
          <w:tcPr>
            <w:tcW w:w="3493"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918"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九、卫生健康支出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1909</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1909</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108" w:type="dxa"/>
            <w:bottom w:w="0" w:type="dxa"/>
            <w:right w:w="108" w:type="dxa"/>
          </w:tblCellMar>
        </w:tblPrEx>
        <w:trPr>
          <w:trHeight w:val="288" w:hRule="atLeast"/>
        </w:trPr>
        <w:tc>
          <w:tcPr>
            <w:tcW w:w="3493"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918"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十一、城乡社区支出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108" w:type="dxa"/>
            <w:bottom w:w="0" w:type="dxa"/>
            <w:right w:w="108" w:type="dxa"/>
          </w:tblCellMar>
        </w:tblPrEx>
        <w:trPr>
          <w:trHeight w:val="288" w:hRule="atLeast"/>
        </w:trPr>
        <w:tc>
          <w:tcPr>
            <w:tcW w:w="3493"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918"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十九、住房保障支出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411.82</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411.82</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108" w:type="dxa"/>
            <w:bottom w:w="0" w:type="dxa"/>
            <w:right w:w="108" w:type="dxa"/>
          </w:tblCellMar>
        </w:tblPrEx>
        <w:trPr>
          <w:trHeight w:val="288" w:hRule="atLeast"/>
        </w:trPr>
        <w:tc>
          <w:tcPr>
            <w:tcW w:w="3493"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918"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二十、粮油物资储备支出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23</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1040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1040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108" w:type="dxa"/>
            <w:bottom w:w="0" w:type="dxa"/>
            <w:right w:w="108" w:type="dxa"/>
          </w:tblCellMar>
        </w:tblPrEx>
        <w:trPr>
          <w:trHeight w:val="288" w:hRule="atLeast"/>
        </w:trPr>
        <w:tc>
          <w:tcPr>
            <w:tcW w:w="3493"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918"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24</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460.61</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460.61</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108" w:type="dxa"/>
            <w:bottom w:w="0" w:type="dxa"/>
            <w:right w:w="108" w:type="dxa"/>
          </w:tblCellMar>
        </w:tblPrEx>
        <w:trPr>
          <w:trHeight w:val="288" w:hRule="atLeast"/>
        </w:trPr>
        <w:tc>
          <w:tcPr>
            <w:tcW w:w="3493"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918"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二十二、其他支出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2597.09</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10.66</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2586.43 </w:t>
            </w:r>
          </w:p>
        </w:tc>
      </w:tr>
      <w:tr>
        <w:tblPrEx>
          <w:tblLayout w:type="fixed"/>
          <w:tblCellMar>
            <w:top w:w="0" w:type="dxa"/>
            <w:left w:w="108" w:type="dxa"/>
            <w:bottom w:w="0" w:type="dxa"/>
            <w:right w:w="108" w:type="dxa"/>
          </w:tblCellMar>
        </w:tblPrEx>
        <w:trPr>
          <w:trHeight w:val="288" w:hRule="atLeast"/>
        </w:trPr>
        <w:tc>
          <w:tcPr>
            <w:tcW w:w="3493"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918"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二十、粮油物资储备支出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26</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1040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1040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108" w:type="dxa"/>
            <w:bottom w:w="0" w:type="dxa"/>
            <w:right w:w="108" w:type="dxa"/>
          </w:tblCellMar>
        </w:tblPrEx>
        <w:trPr>
          <w:trHeight w:val="288" w:hRule="atLeast"/>
        </w:trPr>
        <w:tc>
          <w:tcPr>
            <w:tcW w:w="3493"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918"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460.61</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460.61</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108" w:type="dxa"/>
            <w:bottom w:w="0" w:type="dxa"/>
            <w:right w:w="108" w:type="dxa"/>
          </w:tblCellMar>
        </w:tblPrEx>
        <w:trPr>
          <w:trHeight w:val="288" w:hRule="atLeast"/>
        </w:trPr>
        <w:tc>
          <w:tcPr>
            <w:tcW w:w="3493"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918"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493" w:type="dxa"/>
            <w:tcBorders>
              <w:top w:val="single" w:color="auto" w:sz="4" w:space="0"/>
              <w:left w:val="single" w:color="auto" w:sz="4" w:space="0"/>
              <w:bottom w:val="single" w:color="auto" w:sz="4" w:space="0"/>
              <w:right w:val="single" w:color="auto" w:sz="4" w:space="0"/>
            </w:tcBorders>
            <w:vAlign w:val="top"/>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569"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9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29249.65 </w:t>
            </w:r>
          </w:p>
        </w:tc>
        <w:tc>
          <w:tcPr>
            <w:tcW w:w="3372"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29</w:t>
            </w:r>
          </w:p>
        </w:tc>
        <w:tc>
          <w:tcPr>
            <w:tcW w:w="37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28017.81</w:t>
            </w:r>
          </w:p>
        </w:tc>
      </w:tr>
      <w:tr>
        <w:tblPrEx>
          <w:tblLayout w:type="fixed"/>
          <w:tblCellMar>
            <w:top w:w="0" w:type="dxa"/>
            <w:left w:w="108" w:type="dxa"/>
            <w:bottom w:w="0" w:type="dxa"/>
            <w:right w:w="108" w:type="dxa"/>
          </w:tblCellMar>
        </w:tblPrEx>
        <w:trPr>
          <w:trHeight w:val="288" w:hRule="atLeast"/>
        </w:trPr>
        <w:tc>
          <w:tcPr>
            <w:tcW w:w="3493" w:type="dxa"/>
            <w:tcBorders>
              <w:top w:val="single" w:color="auto" w:sz="4" w:space="0"/>
              <w:left w:val="single" w:color="auto" w:sz="4" w:space="0"/>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569"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9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5649.41 </w:t>
            </w:r>
          </w:p>
        </w:tc>
        <w:tc>
          <w:tcPr>
            <w:tcW w:w="3372"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年末</w:t>
            </w:r>
            <w:r>
              <w:rPr>
                <w:rFonts w:hint="eastAsia" w:ascii="宋体" w:hAnsi="宋体" w:cs="Arial"/>
                <w:kern w:val="0"/>
                <w:sz w:val="22"/>
                <w:szCs w:val="22"/>
                <w:lang w:eastAsia="zh-CN"/>
              </w:rPr>
              <w:t>财政拨款</w:t>
            </w:r>
            <w:r>
              <w:rPr>
                <w:rFonts w:hint="eastAsia" w:ascii="宋体" w:hAnsi="宋体" w:cs="Arial"/>
                <w:kern w:val="0"/>
                <w:sz w:val="22"/>
                <w:szCs w:val="22"/>
              </w:rPr>
              <w:t>结转和结余</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Arial"/>
                <w:color w:val="000000"/>
                <w:kern w:val="0"/>
                <w:sz w:val="22"/>
                <w:szCs w:val="22"/>
                <w:lang w:val="en-US"/>
              </w:rPr>
            </w:pPr>
            <w:r>
              <w:rPr>
                <w:rFonts w:hint="eastAsia" w:ascii="宋体" w:hAnsi="宋体" w:cs="宋体"/>
                <w:i w:val="0"/>
                <w:color w:val="000000"/>
                <w:kern w:val="0"/>
                <w:sz w:val="22"/>
                <w:szCs w:val="22"/>
                <w:u w:val="none"/>
                <w:lang w:val="en-US" w:eastAsia="zh-CN" w:bidi="ar"/>
              </w:rPr>
              <w:t>30</w:t>
            </w:r>
          </w:p>
        </w:tc>
        <w:tc>
          <w:tcPr>
            <w:tcW w:w="37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6881.25</w:t>
            </w:r>
          </w:p>
        </w:tc>
      </w:tr>
      <w:tr>
        <w:tblPrEx>
          <w:tblLayout w:type="fixed"/>
          <w:tblCellMar>
            <w:top w:w="0" w:type="dxa"/>
            <w:left w:w="108" w:type="dxa"/>
            <w:bottom w:w="0" w:type="dxa"/>
            <w:right w:w="108" w:type="dxa"/>
          </w:tblCellMar>
        </w:tblPrEx>
        <w:trPr>
          <w:trHeight w:val="288" w:hRule="atLeast"/>
        </w:trPr>
        <w:tc>
          <w:tcPr>
            <w:tcW w:w="3493" w:type="dxa"/>
            <w:tcBorders>
              <w:top w:val="single" w:color="auto" w:sz="4" w:space="0"/>
              <w:left w:val="single" w:color="auto" w:sz="4" w:space="0"/>
              <w:bottom w:val="single" w:color="auto" w:sz="4" w:space="0"/>
              <w:right w:val="single" w:color="auto" w:sz="4" w:space="0"/>
            </w:tcBorders>
            <w:vAlign w:val="top"/>
          </w:tcPr>
          <w:p>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569"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9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5529.33 </w:t>
            </w:r>
          </w:p>
        </w:tc>
        <w:tc>
          <w:tcPr>
            <w:tcW w:w="3372"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w:t>
            </w:r>
          </w:p>
        </w:tc>
        <w:tc>
          <w:tcPr>
            <w:tcW w:w="3732" w:type="dxa"/>
            <w:gridSpan w:val="3"/>
            <w:tcBorders>
              <w:top w:val="single" w:color="auto" w:sz="4" w:space="0"/>
              <w:left w:val="single" w:color="auto" w:sz="4" w:space="0"/>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493" w:type="dxa"/>
            <w:tcBorders>
              <w:top w:val="single" w:color="auto" w:sz="4" w:space="0"/>
              <w:left w:val="single" w:color="auto" w:sz="4" w:space="0"/>
              <w:bottom w:val="single" w:color="auto" w:sz="4" w:space="0"/>
              <w:right w:val="single" w:color="auto" w:sz="4" w:space="0"/>
            </w:tcBorders>
            <w:vAlign w:val="top"/>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569"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9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120.08 </w:t>
            </w:r>
          </w:p>
        </w:tc>
        <w:tc>
          <w:tcPr>
            <w:tcW w:w="3372"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32</w:t>
            </w:r>
          </w:p>
        </w:tc>
        <w:tc>
          <w:tcPr>
            <w:tcW w:w="3732" w:type="dxa"/>
            <w:gridSpan w:val="3"/>
            <w:tcBorders>
              <w:top w:val="single" w:color="auto" w:sz="4" w:space="0"/>
              <w:left w:val="single" w:color="auto" w:sz="4" w:space="0"/>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493"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9"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918"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33</w:t>
            </w:r>
          </w:p>
        </w:tc>
        <w:tc>
          <w:tcPr>
            <w:tcW w:w="3732" w:type="dxa"/>
            <w:gridSpan w:val="3"/>
            <w:tcBorders>
              <w:top w:val="single" w:color="auto" w:sz="4" w:space="0"/>
              <w:left w:val="single" w:color="auto" w:sz="4" w:space="0"/>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493"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569"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918"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34899.05</w:t>
            </w:r>
          </w:p>
        </w:tc>
        <w:tc>
          <w:tcPr>
            <w:tcW w:w="3372"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w:t>
            </w:r>
          </w:p>
        </w:tc>
        <w:tc>
          <w:tcPr>
            <w:tcW w:w="37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34899.05</w:t>
            </w:r>
          </w:p>
        </w:tc>
      </w:tr>
    </w:tbl>
    <w:p>
      <w:pPr>
        <w:jc w:val="right"/>
        <w:rPr>
          <w:rFonts w:hint="eastAsia"/>
          <w:sz w:val="22"/>
          <w:szCs w:val="22"/>
        </w:rPr>
      </w:pPr>
      <w:r>
        <w:rPr>
          <w:rFonts w:hint="eastAsia"/>
          <w:sz w:val="22"/>
          <w:szCs w:val="22"/>
        </w:rPr>
        <w:t>单位：万元</w:t>
      </w:r>
    </w:p>
    <w:p>
      <w:pPr>
        <w:rPr>
          <w:rFonts w:hint="eastAsia" w:eastAsia="宋体"/>
          <w:lang w:eastAsia="zh-CN"/>
        </w:rPr>
      </w:pPr>
      <w:r>
        <w:rPr>
          <w:rFonts w:hint="eastAsia"/>
          <w:lang w:eastAsia="zh-CN"/>
        </w:rPr>
        <w:t>注：本表反映部门本年度一般公共预算财政拨款和政府性基金预算财政拨款的总收支和年末结转结余情况。</w:t>
      </w:r>
    </w:p>
    <w:p>
      <w:pPr>
        <w:rPr>
          <w:rFonts w:hint="eastAsia" w:eastAsia="宋体"/>
          <w:lang w:eastAsia="zh-CN"/>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6"/>
        <w:tblW w:w="13479" w:type="dxa"/>
        <w:jc w:val="center"/>
        <w:tblInd w:w="0" w:type="dxa"/>
        <w:tblLayout w:type="fixed"/>
        <w:tblCellMar>
          <w:top w:w="0" w:type="dxa"/>
          <w:left w:w="108" w:type="dxa"/>
          <w:bottom w:w="0" w:type="dxa"/>
          <w:right w:w="108" w:type="dxa"/>
        </w:tblCellMar>
      </w:tblPr>
      <w:tblGrid>
        <w:gridCol w:w="1283"/>
        <w:gridCol w:w="3810"/>
        <w:gridCol w:w="2090"/>
        <w:gridCol w:w="2900"/>
        <w:gridCol w:w="3396"/>
      </w:tblGrid>
      <w:tr>
        <w:tblPrEx>
          <w:tblLayout w:type="fixed"/>
          <w:tblCellMar>
            <w:top w:w="0" w:type="dxa"/>
            <w:left w:w="108" w:type="dxa"/>
            <w:bottom w:w="0" w:type="dxa"/>
            <w:right w:w="108" w:type="dxa"/>
          </w:tblCellMar>
        </w:tblPrEx>
        <w:trPr>
          <w:trHeight w:val="300" w:hRule="atLeast"/>
          <w:jc w:val="center"/>
        </w:trPr>
        <w:tc>
          <w:tcPr>
            <w:tcW w:w="50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宋体" w:cs="Arial"/>
                <w:kern w:val="0"/>
                <w:sz w:val="22"/>
                <w:szCs w:val="22"/>
                <w:lang w:eastAsia="zh-CN"/>
              </w:rPr>
              <w:t>支出功能</w:t>
            </w:r>
            <w:r>
              <w:rPr>
                <w:rFonts w:hint="eastAsia" w:ascii="MingLiU" w:hAnsi="MingLiU" w:eastAsia="MingLiU" w:cs="Arial"/>
                <w:kern w:val="0"/>
                <w:sz w:val="22"/>
                <w:szCs w:val="22"/>
              </w:rPr>
              <w:t>项 目</w:t>
            </w:r>
          </w:p>
        </w:tc>
        <w:tc>
          <w:tcPr>
            <w:tcW w:w="20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Layout w:type="fixed"/>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both"/>
              <w:rPr>
                <w:rFonts w:ascii="MingLiU" w:hAnsi="MingLiU" w:eastAsia="MingLiU" w:cs="Arial"/>
                <w:kern w:val="0"/>
                <w:sz w:val="22"/>
                <w:szCs w:val="22"/>
              </w:rPr>
            </w:pPr>
            <w:r>
              <w:rPr>
                <w:rFonts w:hint="eastAsia" w:ascii="MingLiU" w:hAnsi="MingLiU" w:cs="Arial"/>
                <w:kern w:val="0"/>
                <w:sz w:val="22"/>
                <w:szCs w:val="22"/>
                <w:lang w:eastAsia="zh-CN"/>
              </w:rPr>
              <w:t>支出功能分类</w:t>
            </w:r>
            <w:r>
              <w:rPr>
                <w:rFonts w:hint="eastAsia" w:ascii="MingLiU" w:hAnsi="MingLiU" w:eastAsia="MingLiU" w:cs="Arial"/>
                <w:kern w:val="0"/>
                <w:sz w:val="22"/>
                <w:szCs w:val="22"/>
              </w:rPr>
              <w:t>科目编码</w:t>
            </w:r>
          </w:p>
        </w:tc>
        <w:tc>
          <w:tcPr>
            <w:tcW w:w="381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509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09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Layout w:type="fixed"/>
          <w:tblCellMar>
            <w:top w:w="0" w:type="dxa"/>
            <w:left w:w="108" w:type="dxa"/>
            <w:bottom w:w="0" w:type="dxa"/>
            <w:right w:w="108" w:type="dxa"/>
          </w:tblCellMar>
        </w:tblPrEx>
        <w:trPr>
          <w:trHeight w:val="300" w:hRule="atLeast"/>
          <w:jc w:val="center"/>
        </w:trPr>
        <w:tc>
          <w:tcPr>
            <w:tcW w:w="509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0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25,431.38</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8,146.87</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17,284.51</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20501</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教育管理事务</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2050101</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21,579.14</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6,786.62</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14,792.53</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民政管理事务</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2,945.29</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1,763.97</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1,181.32</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2080201</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1,634.86</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1,634.86</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2080202</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281.51</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35.48</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246.03</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2080206</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民间组织管理</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28.87</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28.87</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2080207</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行政区划和地名管理</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130.06</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130.06</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2080208</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基层政权和社区建设</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459.42</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459.42</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2080299</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其他民政管理事务支出</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410.58</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93.63</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316.95</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877.41</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877.41</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216.37</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216.37</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115.56</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115.56</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527.20</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527.20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18.28</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18.28</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98.30</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98.30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死亡抚恤</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2080802</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伤残抚恤</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2080804</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优抚事业单位支出</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78.06</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78.06</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退役安置</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6,765.14</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1,038.77</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5,726.37</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2080901</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退役士兵安置</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424.45</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424.45</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2080902</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军队移交政府的离退休人员安置</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5,884.10</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871.99</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5,012.12</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2080903</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军队移交政府离退休干部管理机构</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421.29</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166.79</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254.50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2080904</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退役士兵管理教育</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35.30</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社会福利</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9,669.95</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3,104.94</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6,565.01</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2081001</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儿童福利</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1,771.51</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854.24</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917.27</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2081002</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老年福利</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1,593.75</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631.18</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962.57</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2081004</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殡葬</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4,329.32</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212.50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4,116.82</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2081005</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社会福利事业单位</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1,475.37</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1,407.02</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68.34</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2081099</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其他社会福利支出</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残疾人事业</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160.00</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2081199</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其他残疾人事业支出</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160.00</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20816</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红十字事业</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6.90</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2081699</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其他红十字事业支出</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6.90</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515.90</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515.90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2082002</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流浪乞讨人员救助支出</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515.90</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515.90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20825</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其他生活救助</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10.62</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10.62</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2082502</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其他农村生活救助</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10.62</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10.62</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退役军人管理事务</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528.94</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527.41</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2082801</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2082804</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拥军优属</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341.15</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341.15</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2082805</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部队供应</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186.26</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186.26</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其他社会保障和就业支出</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0.69</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0.69</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2089901</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0.69</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0.69</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1,909.00</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948.28</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960.72</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公立医院</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5.95</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5.95</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2100205</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精神病医院</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5.95</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5.95</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85.00</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20.42</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64.58</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2100409</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重大公共卫生专项</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85.00</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20.42</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64.58</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921.91</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921.91</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130.52</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130.52</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111.04</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111.04</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676.77</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676.77</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2101199</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其他行政事业单位医疗支出</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21016</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老龄卫生健康事务</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896.14</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896.14</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2101601</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老龄卫生健康事务</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896.14</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896.14</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21202</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城乡社区规划与管理</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2120201</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城乡社区规划与管理</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411.82</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411.82</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411.82</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411.82</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407.63</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407.63</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购房补贴</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4.19</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4.19</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粮油物资储备支出</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1,040.00</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1,040.00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22205</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重要商品储备</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1,040.00</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1,040.00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2220599</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其他重要商品储备支出</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1,040.00</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1,040.00</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灾害防治及应急管理支出</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460.61</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460.61</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自然灾害救灾及恢复重建支出</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460.61</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460.61</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2240702</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地方自然灾害生活补助</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460.61</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460.61</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10.66</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10.66</w:t>
            </w:r>
          </w:p>
        </w:tc>
      </w:tr>
      <w:tr>
        <w:tblPrEx>
          <w:shd w:val="clear" w:color="auto" w:fill="auto"/>
          <w:tblLayout w:type="fixed"/>
          <w:tblCellMar>
            <w:top w:w="0" w:type="dxa"/>
            <w:left w:w="0" w:type="dxa"/>
            <w:bottom w:w="0" w:type="dxa"/>
            <w:right w:w="0" w:type="dxa"/>
          </w:tblCellMar>
        </w:tblPrEx>
        <w:trPr>
          <w:trHeight w:val="285" w:hRule="atLeast"/>
          <w:jc w:val="center"/>
        </w:trPr>
        <w:tc>
          <w:tcPr>
            <w:tcW w:w="1283"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w:t>
            </w:r>
          </w:p>
        </w:tc>
        <w:tc>
          <w:tcPr>
            <w:tcW w:w="3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10.66</w:t>
            </w:r>
          </w:p>
        </w:tc>
        <w:tc>
          <w:tcPr>
            <w:tcW w:w="2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10.66</w:t>
            </w:r>
          </w:p>
        </w:tc>
      </w:tr>
      <w:tr>
        <w:tblPrEx>
          <w:shd w:val="clear" w:color="auto" w:fill="auto"/>
          <w:tblLayout w:type="fixed"/>
          <w:tblCellMar>
            <w:top w:w="0" w:type="dxa"/>
            <w:left w:w="0" w:type="dxa"/>
            <w:bottom w:w="0" w:type="dxa"/>
            <w:right w:w="0" w:type="dxa"/>
          </w:tblCellMar>
        </w:tblPrEx>
        <w:trPr>
          <w:trHeight w:val="300" w:hRule="atLeast"/>
          <w:jc w:val="center"/>
        </w:trPr>
        <w:tc>
          <w:tcPr>
            <w:tcW w:w="1283"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2299901</w:t>
            </w:r>
          </w:p>
        </w:tc>
        <w:tc>
          <w:tcPr>
            <w:tcW w:w="3810"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090"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10.66</w:t>
            </w:r>
          </w:p>
        </w:tc>
        <w:tc>
          <w:tcPr>
            <w:tcW w:w="2900"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10.66</w:t>
            </w:r>
          </w:p>
        </w:tc>
      </w:tr>
    </w:tbl>
    <w:p>
      <w:pPr>
        <w:rPr>
          <w:rFonts w:hint="eastAsia"/>
        </w:rPr>
      </w:pPr>
    </w:p>
    <w:p>
      <w:pPr>
        <w:rPr>
          <w:rFonts w:hint="eastAsia"/>
        </w:rPr>
      </w:pPr>
      <w:r>
        <w:rPr>
          <w:rFonts w:hint="eastAsia"/>
          <w:lang w:eastAsia="zh-CN"/>
        </w:rPr>
        <w:t>注：本表反映部门本年度一般公共预算财政拨款实际支出情况。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hint="eastAsia"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6"/>
        <w:tblW w:w="9151" w:type="dxa"/>
        <w:tblInd w:w="93" w:type="dxa"/>
        <w:tblLayout w:type="fixed"/>
        <w:tblCellMar>
          <w:top w:w="0" w:type="dxa"/>
          <w:left w:w="108" w:type="dxa"/>
          <w:bottom w:w="0" w:type="dxa"/>
          <w:right w:w="108" w:type="dxa"/>
        </w:tblCellMar>
      </w:tblPr>
      <w:tblGrid>
        <w:gridCol w:w="916"/>
        <w:gridCol w:w="2746"/>
        <w:gridCol w:w="1104"/>
        <w:gridCol w:w="913"/>
        <w:gridCol w:w="2362"/>
        <w:gridCol w:w="1110"/>
      </w:tblGrid>
      <w:tr>
        <w:tblPrEx>
          <w:tblLayout w:type="fixed"/>
          <w:tblCellMar>
            <w:top w:w="0" w:type="dxa"/>
            <w:left w:w="108" w:type="dxa"/>
            <w:bottom w:w="0" w:type="dxa"/>
            <w:right w:w="108" w:type="dxa"/>
          </w:tblCellMar>
        </w:tblPrEx>
        <w:trPr>
          <w:trHeight w:val="564" w:hRule="atLeast"/>
        </w:trPr>
        <w:tc>
          <w:tcPr>
            <w:tcW w:w="476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eastAsia="zh-CN"/>
              </w:rPr>
              <w:t>人员经费</w:t>
            </w:r>
          </w:p>
        </w:tc>
        <w:tc>
          <w:tcPr>
            <w:tcW w:w="438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公用经费</w:t>
            </w:r>
          </w:p>
        </w:tc>
      </w:tr>
      <w:tr>
        <w:tblPrEx>
          <w:tblLayout w:type="fixed"/>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支出经济分类科目编码</w:t>
            </w:r>
          </w:p>
        </w:tc>
        <w:tc>
          <w:tcPr>
            <w:tcW w:w="2746"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科目名称</w:t>
            </w:r>
          </w:p>
        </w:tc>
        <w:tc>
          <w:tcPr>
            <w:tcW w:w="1104" w:type="dxa"/>
            <w:tcBorders>
              <w:top w:val="nil"/>
              <w:left w:val="nil"/>
              <w:bottom w:val="single" w:color="auto" w:sz="4" w:space="0"/>
              <w:right w:val="single" w:color="auto" w:sz="4" w:space="0"/>
            </w:tcBorders>
            <w:vAlign w:val="bottom"/>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金额</w:t>
            </w:r>
          </w:p>
        </w:tc>
        <w:tc>
          <w:tcPr>
            <w:tcW w:w="913"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经济分类科目编码</w:t>
            </w:r>
          </w:p>
        </w:tc>
        <w:tc>
          <w:tcPr>
            <w:tcW w:w="2362"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科目名称</w:t>
            </w:r>
          </w:p>
        </w:tc>
        <w:tc>
          <w:tcPr>
            <w:tcW w:w="111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金额</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w:t>
            </w: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工资福利支出</w:t>
            </w: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6261.4</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商品和服务支出</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761.46</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30101</w:t>
            </w: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基本工资</w:t>
            </w: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1993.63</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30201</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办公费</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70.79</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30102</w:t>
            </w: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津贴补贴</w:t>
            </w: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424.73</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30202</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印刷费</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5.52</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30103</w:t>
            </w: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奖金</w:t>
            </w: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500.21</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30203</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咨询费</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1</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30106</w:t>
            </w: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伙食补助费</w:t>
            </w: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51.85</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30204</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手续费</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9.35</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30107</w:t>
            </w: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绩效工资</w:t>
            </w: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760.35</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30205</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水费</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3.91</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30108</w:t>
            </w: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546.98</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30206</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电费</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21.96</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30109</w:t>
            </w: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职业年金缴费</w:t>
            </w: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28.34</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30207</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邮电费</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34.97</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30110</w:t>
            </w: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247.09</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30208</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取暖费</w:t>
            </w:r>
          </w:p>
        </w:tc>
        <w:tc>
          <w:tcPr>
            <w:tcW w:w="1110"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30111</w:t>
            </w: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682.15</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30209</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物业管理费</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12.43</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30112</w:t>
            </w: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49.69</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30211</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差旅费</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78.85</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30113</w:t>
            </w: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住房公积金</w:t>
            </w: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508.47</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30212</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1110"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30114</w:t>
            </w: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医疗费</w:t>
            </w:r>
          </w:p>
        </w:tc>
        <w:tc>
          <w:tcPr>
            <w:tcW w:w="1104"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30213</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维修（护）费</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43.45</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30199</w:t>
            </w: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467.91</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30214</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租赁费</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0.27</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303</w:t>
            </w: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对个人和家庭的补助</w:t>
            </w: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1080.34</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30215</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会议费</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4.00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30301</w:t>
            </w: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离休费</w:t>
            </w: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54.43</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30216</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培训费</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13.73</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30302</w:t>
            </w: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退休费</w:t>
            </w: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755.03</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30217</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公务接待费</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4.91</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30303</w:t>
            </w: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退职（役）费</w:t>
            </w:r>
          </w:p>
        </w:tc>
        <w:tc>
          <w:tcPr>
            <w:tcW w:w="1104" w:type="dxa"/>
            <w:tcBorders>
              <w:top w:val="nil"/>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30218</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专用材料费</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0.64</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30304</w:t>
            </w: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抚恤金</w:t>
            </w: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43.90</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30224</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被装购置费</w:t>
            </w:r>
          </w:p>
        </w:tc>
        <w:tc>
          <w:tcPr>
            <w:tcW w:w="1110"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30305</w:t>
            </w: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生活补助</w:t>
            </w: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80.36</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30225</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专用燃料费</w:t>
            </w:r>
          </w:p>
        </w:tc>
        <w:tc>
          <w:tcPr>
            <w:tcW w:w="1110"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30306</w:t>
            </w: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救济费</w:t>
            </w: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144.72</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30226</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劳务费</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9.34</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30307</w:t>
            </w: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医疗费补助</w:t>
            </w:r>
          </w:p>
        </w:tc>
        <w:tc>
          <w:tcPr>
            <w:tcW w:w="1104"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30227</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委托业务费</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4.00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30308</w:t>
            </w: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助学金</w:t>
            </w:r>
          </w:p>
        </w:tc>
        <w:tc>
          <w:tcPr>
            <w:tcW w:w="1104"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30228</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工会经费</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71.45</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30309</w:t>
            </w: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奖励金</w:t>
            </w: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0.42</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30229</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福利费</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5.71</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30310</w:t>
            </w: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1104"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30231</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26.27</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30399</w:t>
            </w: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1.47</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30239</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其他交通费用</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137.05</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30240</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1.33</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30299</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200.53</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307</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债务利息及费用支出</w:t>
            </w:r>
          </w:p>
        </w:tc>
        <w:tc>
          <w:tcPr>
            <w:tcW w:w="1110"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30701</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国内债务付息</w:t>
            </w:r>
          </w:p>
        </w:tc>
        <w:tc>
          <w:tcPr>
            <w:tcW w:w="1110"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30702</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国外债务付息</w:t>
            </w:r>
          </w:p>
        </w:tc>
        <w:tc>
          <w:tcPr>
            <w:tcW w:w="1110"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310</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资本性支出</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43.67</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31001</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1110"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31002</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办公设备购置</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28.40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31003</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专用设备购置</w:t>
            </w:r>
          </w:p>
        </w:tc>
        <w:tc>
          <w:tcPr>
            <w:tcW w:w="1110"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31005</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基础设施建设</w:t>
            </w:r>
          </w:p>
        </w:tc>
        <w:tc>
          <w:tcPr>
            <w:tcW w:w="1110"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31006</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大型修缮</w:t>
            </w:r>
          </w:p>
        </w:tc>
        <w:tc>
          <w:tcPr>
            <w:tcW w:w="1110"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31007</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1110"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31008</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物资储备</w:t>
            </w:r>
          </w:p>
        </w:tc>
        <w:tc>
          <w:tcPr>
            <w:tcW w:w="1110"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31009</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土地补偿</w:t>
            </w:r>
          </w:p>
        </w:tc>
        <w:tc>
          <w:tcPr>
            <w:tcW w:w="1110"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31010</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安置补助</w:t>
            </w:r>
          </w:p>
        </w:tc>
        <w:tc>
          <w:tcPr>
            <w:tcW w:w="1110"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31011</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1110"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31012</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拆迁补偿</w:t>
            </w:r>
          </w:p>
        </w:tc>
        <w:tc>
          <w:tcPr>
            <w:tcW w:w="1110"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31013</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公务用车购置</w:t>
            </w:r>
          </w:p>
        </w:tc>
        <w:tc>
          <w:tcPr>
            <w:tcW w:w="11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15.27</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31019</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1110"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31021</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1110"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31022</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无形资产购置</w:t>
            </w:r>
          </w:p>
        </w:tc>
        <w:tc>
          <w:tcPr>
            <w:tcW w:w="1110"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31099</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1110"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399</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其他支出</w:t>
            </w:r>
          </w:p>
        </w:tc>
        <w:tc>
          <w:tcPr>
            <w:tcW w:w="1110"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39906</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赠与</w:t>
            </w:r>
          </w:p>
        </w:tc>
        <w:tc>
          <w:tcPr>
            <w:tcW w:w="1110"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39907</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1110"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39908</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1110"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27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1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39999</w:t>
            </w:r>
          </w:p>
        </w:tc>
        <w:tc>
          <w:tcPr>
            <w:tcW w:w="236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其他支出</w:t>
            </w:r>
          </w:p>
        </w:tc>
        <w:tc>
          <w:tcPr>
            <w:tcW w:w="1110"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64" w:hRule="atLeast"/>
        </w:trPr>
        <w:tc>
          <w:tcPr>
            <w:tcW w:w="36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人员经费合计</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7341.74</w:t>
            </w:r>
          </w:p>
        </w:tc>
        <w:tc>
          <w:tcPr>
            <w:tcW w:w="327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公用经费合计</w:t>
            </w: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805.13</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lang w:eastAsia="zh-CN"/>
        </w:rPr>
        <w:t>注：本表反映部门本年度一般公共预算财政拨款基本支出明细情况。</w:t>
      </w: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Pr>
        <w:rPr>
          <w:rFonts w:hint="eastAsia"/>
        </w:rPr>
      </w:pPr>
    </w:p>
    <w:p>
      <w:pPr>
        <w:jc w:val="right"/>
        <w:rPr>
          <w:rFonts w:hint="eastAsia"/>
        </w:rPr>
      </w:pPr>
      <w:r>
        <w:rPr>
          <w:rFonts w:hint="eastAsia"/>
        </w:rPr>
        <w:t>单位：万元</w:t>
      </w:r>
    </w:p>
    <w:tbl>
      <w:tblPr>
        <w:tblStyle w:val="6"/>
        <w:tblW w:w="13921" w:type="dxa"/>
        <w:jc w:val="center"/>
        <w:tblInd w:w="0" w:type="dxa"/>
        <w:tblLayout w:type="fixed"/>
        <w:tblCellMar>
          <w:top w:w="0" w:type="dxa"/>
          <w:left w:w="108" w:type="dxa"/>
          <w:bottom w:w="0" w:type="dxa"/>
          <w:right w:w="108" w:type="dxa"/>
        </w:tblCellMar>
      </w:tblPr>
      <w:tblGrid>
        <w:gridCol w:w="1125"/>
        <w:gridCol w:w="1307"/>
        <w:gridCol w:w="828"/>
        <w:gridCol w:w="1242"/>
        <w:gridCol w:w="1242"/>
        <w:gridCol w:w="1216"/>
        <w:gridCol w:w="806"/>
        <w:gridCol w:w="1560"/>
        <w:gridCol w:w="806"/>
        <w:gridCol w:w="1398"/>
        <w:gridCol w:w="1208"/>
        <w:gridCol w:w="1183"/>
      </w:tblGrid>
      <w:tr>
        <w:tblPrEx>
          <w:tblLayout w:type="fixed"/>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201</w:t>
            </w:r>
            <w:r>
              <w:rPr>
                <w:rFonts w:hint="eastAsia" w:ascii="宋体" w:hAnsi="宋体" w:cs="Arial"/>
                <w:kern w:val="0"/>
                <w:sz w:val="22"/>
                <w:szCs w:val="22"/>
                <w:lang w:val="en-US" w:eastAsia="zh-CN"/>
              </w:rPr>
              <w:t>9</w:t>
            </w:r>
            <w:r>
              <w:rPr>
                <w:rFonts w:hint="eastAsia" w:ascii="宋体" w:hAnsi="宋体" w:cs="Arial"/>
                <w:kern w:val="0"/>
                <w:sz w:val="22"/>
                <w:szCs w:val="22"/>
              </w:rPr>
              <w:t>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201</w:t>
            </w:r>
            <w:r>
              <w:rPr>
                <w:rFonts w:hint="eastAsia" w:ascii="宋体" w:hAnsi="宋体" w:cs="Arial"/>
                <w:kern w:val="0"/>
                <w:sz w:val="22"/>
                <w:szCs w:val="22"/>
                <w:lang w:val="en-US" w:eastAsia="zh-CN"/>
              </w:rPr>
              <w:t>9</w:t>
            </w:r>
            <w:r>
              <w:rPr>
                <w:rFonts w:hint="eastAsia" w:ascii="宋体" w:hAnsi="宋体" w:cs="Arial"/>
                <w:kern w:val="0"/>
                <w:sz w:val="22"/>
                <w:szCs w:val="22"/>
              </w:rPr>
              <w:t>年度决算数</w:t>
            </w:r>
          </w:p>
        </w:tc>
      </w:tr>
      <w:tr>
        <w:tblPrEx>
          <w:tblLayout w:type="fixed"/>
          <w:tblCellMar>
            <w:top w:w="0" w:type="dxa"/>
            <w:left w:w="108" w:type="dxa"/>
            <w:bottom w:w="0" w:type="dxa"/>
            <w:right w:w="108" w:type="dxa"/>
          </w:tblCellMar>
        </w:tblPrEx>
        <w:trPr>
          <w:trHeight w:val="396" w:hRule="atLeast"/>
          <w:jc w:val="center"/>
        </w:trPr>
        <w:tc>
          <w:tcPr>
            <w:tcW w:w="112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307"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Layout w:type="fixed"/>
          <w:tblCellMar>
            <w:top w:w="0" w:type="dxa"/>
            <w:left w:w="108" w:type="dxa"/>
            <w:bottom w:w="0" w:type="dxa"/>
            <w:right w:w="108" w:type="dxa"/>
          </w:tblCellMar>
        </w:tblPrEx>
        <w:trPr>
          <w:trHeight w:val="576" w:hRule="atLeast"/>
          <w:jc w:val="center"/>
        </w:trPr>
        <w:tc>
          <w:tcPr>
            <w:tcW w:w="11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307"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1125"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30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564" w:hRule="atLeast"/>
          <w:jc w:val="center"/>
        </w:trPr>
        <w:tc>
          <w:tcPr>
            <w:tcW w:w="1125" w:type="dxa"/>
            <w:tcBorders>
              <w:top w:val="nil"/>
              <w:left w:val="single" w:color="auto" w:sz="4" w:space="0"/>
              <w:bottom w:val="single" w:color="auto" w:sz="4" w:space="0"/>
              <w:right w:val="single" w:color="auto" w:sz="4" w:space="0"/>
            </w:tcBorders>
            <w:vAlign w:val="top"/>
          </w:tcPr>
          <w:p>
            <w:pPr>
              <w:widowControl/>
              <w:ind w:firstLine="200" w:firstLineChars="100"/>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144.68</w:t>
            </w:r>
          </w:p>
        </w:tc>
        <w:tc>
          <w:tcPr>
            <w:tcW w:w="1307" w:type="dxa"/>
            <w:tcBorders>
              <w:top w:val="nil"/>
              <w:left w:val="nil"/>
              <w:bottom w:val="single" w:color="auto" w:sz="4" w:space="0"/>
              <w:right w:val="single" w:color="auto" w:sz="4" w:space="0"/>
            </w:tcBorders>
            <w:vAlign w:val="top"/>
          </w:tcPr>
          <w:p>
            <w:pPr>
              <w:widowControl/>
              <w:ind w:firstLine="200" w:firstLineChars="100"/>
              <w:jc w:val="left"/>
              <w:rPr>
                <w:rFonts w:hint="eastAsia" w:asciiTheme="minorEastAsia" w:hAnsiTheme="minorEastAsia" w:eastAsiaTheme="minorEastAsia" w:cstheme="minorEastAsia"/>
                <w:color w:val="000000"/>
                <w:kern w:val="0"/>
                <w:sz w:val="20"/>
                <w:szCs w:val="20"/>
                <w:lang w:val="en-US" w:eastAsia="zh-CN"/>
              </w:rPr>
            </w:pPr>
          </w:p>
        </w:tc>
        <w:tc>
          <w:tcPr>
            <w:tcW w:w="828" w:type="dxa"/>
            <w:tcBorders>
              <w:top w:val="nil"/>
              <w:left w:val="nil"/>
              <w:bottom w:val="single" w:color="auto" w:sz="4" w:space="0"/>
              <w:right w:val="single" w:color="auto" w:sz="4" w:space="0"/>
            </w:tcBorders>
            <w:vAlign w:val="top"/>
          </w:tcPr>
          <w:p>
            <w:pPr>
              <w:widowControl/>
              <w:ind w:firstLine="200" w:firstLineChars="100"/>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242" w:type="dxa"/>
            <w:tcBorders>
              <w:top w:val="nil"/>
              <w:left w:val="nil"/>
              <w:bottom w:val="single" w:color="auto" w:sz="4" w:space="0"/>
              <w:right w:val="single" w:color="auto" w:sz="4" w:space="0"/>
            </w:tcBorders>
            <w:vAlign w:val="top"/>
          </w:tcPr>
          <w:p>
            <w:pPr>
              <w:widowControl/>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rPr>
              <w:t>　</w:t>
            </w:r>
          </w:p>
        </w:tc>
        <w:tc>
          <w:tcPr>
            <w:tcW w:w="1242" w:type="dxa"/>
            <w:tcBorders>
              <w:top w:val="nil"/>
              <w:left w:val="nil"/>
              <w:bottom w:val="single" w:color="auto" w:sz="4" w:space="0"/>
              <w:right w:val="single" w:color="auto" w:sz="4" w:space="0"/>
            </w:tcBorders>
            <w:vAlign w:val="top"/>
          </w:tcPr>
          <w:p>
            <w:pPr>
              <w:widowControl/>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111.96</w:t>
            </w:r>
          </w:p>
        </w:tc>
        <w:tc>
          <w:tcPr>
            <w:tcW w:w="1216" w:type="dxa"/>
            <w:tcBorders>
              <w:top w:val="nil"/>
              <w:left w:val="nil"/>
              <w:bottom w:val="single" w:color="auto" w:sz="4" w:space="0"/>
              <w:right w:val="single" w:color="auto" w:sz="4" w:space="0"/>
            </w:tcBorders>
            <w:vAlign w:val="top"/>
          </w:tcPr>
          <w:p>
            <w:pPr>
              <w:widowControl/>
              <w:ind w:firstLine="200" w:firstLineChars="100"/>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32.72　</w:t>
            </w:r>
          </w:p>
        </w:tc>
        <w:tc>
          <w:tcPr>
            <w:tcW w:w="806" w:type="dxa"/>
            <w:tcBorders>
              <w:top w:val="nil"/>
              <w:left w:val="nil"/>
              <w:bottom w:val="single" w:color="auto" w:sz="4" w:space="0"/>
              <w:right w:val="single" w:color="auto" w:sz="4" w:space="0"/>
            </w:tcBorders>
            <w:vAlign w:val="top"/>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87.85</w:t>
            </w:r>
          </w:p>
        </w:tc>
        <w:tc>
          <w:tcPr>
            <w:tcW w:w="1560" w:type="dxa"/>
            <w:tcBorders>
              <w:top w:val="nil"/>
              <w:left w:val="nil"/>
              <w:bottom w:val="single" w:color="auto" w:sz="4" w:space="0"/>
              <w:right w:val="single" w:color="auto" w:sz="4" w:space="0"/>
            </w:tcBorders>
            <w:vAlign w:val="top"/>
          </w:tcPr>
          <w:p>
            <w:pPr>
              <w:widowControl/>
              <w:ind w:firstLine="200" w:firstLineChars="100"/>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806" w:type="dxa"/>
            <w:tcBorders>
              <w:top w:val="nil"/>
              <w:left w:val="nil"/>
              <w:bottom w:val="single" w:color="auto" w:sz="4" w:space="0"/>
              <w:right w:val="single" w:color="auto" w:sz="4" w:space="0"/>
            </w:tcBorders>
            <w:vAlign w:val="top"/>
          </w:tcPr>
          <w:p>
            <w:pPr>
              <w:widowControl/>
              <w:ind w:firstLine="200" w:firstLineChars="100"/>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398" w:type="dxa"/>
            <w:tcBorders>
              <w:top w:val="nil"/>
              <w:left w:val="nil"/>
              <w:bottom w:val="single" w:color="auto" w:sz="4" w:space="0"/>
              <w:right w:val="single" w:color="auto" w:sz="4" w:space="0"/>
            </w:tcBorders>
            <w:vAlign w:val="top"/>
          </w:tcPr>
          <w:p>
            <w:pPr>
              <w:widowControl/>
              <w:ind w:firstLine="400" w:firstLineChars="200"/>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15.27</w:t>
            </w:r>
          </w:p>
        </w:tc>
        <w:tc>
          <w:tcPr>
            <w:tcW w:w="1208" w:type="dxa"/>
            <w:tcBorders>
              <w:top w:val="nil"/>
              <w:left w:val="nil"/>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64.85　</w:t>
            </w:r>
          </w:p>
        </w:tc>
        <w:tc>
          <w:tcPr>
            <w:tcW w:w="1183" w:type="dxa"/>
            <w:tcBorders>
              <w:top w:val="nil"/>
              <w:left w:val="nil"/>
              <w:bottom w:val="single" w:color="auto" w:sz="4" w:space="0"/>
              <w:right w:val="single" w:color="auto" w:sz="4" w:space="0"/>
            </w:tcBorders>
            <w:vAlign w:val="top"/>
          </w:tcPr>
          <w:p>
            <w:pPr>
              <w:widowControl/>
              <w:ind w:firstLine="200" w:firstLineChars="100"/>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7.73</w:t>
            </w:r>
          </w:p>
        </w:tc>
      </w:tr>
    </w:tbl>
    <w:p>
      <w:pPr>
        <w:sectPr>
          <w:pgSz w:w="16838" w:h="11906" w:orient="landscape"/>
          <w:pgMar w:top="1797" w:right="1440" w:bottom="1797" w:left="1440" w:header="851" w:footer="992" w:gutter="0"/>
          <w:pgNumType w:fmt="numberInDash"/>
          <w:cols w:space="720" w:num="1"/>
          <w:docGrid w:type="lines" w:linePitch="312" w:charSpace="0"/>
        </w:sectPr>
      </w:pPr>
      <w:r>
        <w:rPr>
          <w:rFonts w:hint="eastAsia"/>
          <w:lang w:eastAsia="zh-CN"/>
        </w:rPr>
        <w:t>注：本表反映部门本年度“三公”经费支出预决算情况。其中，</w:t>
      </w:r>
      <w:r>
        <w:rPr>
          <w:rFonts w:hint="eastAsia"/>
          <w:lang w:val="en-US" w:eastAsia="zh-CN"/>
        </w:rPr>
        <w:t>2019年度预算数为“三公”经费年初预算数，决算数是包括当年一般公共预算财政拨款和以前年度结转资金安排的实际支出。</w:t>
      </w:r>
    </w:p>
    <w:p>
      <w:pPr>
        <w:rPr>
          <w:rFonts w:hint="eastAsia"/>
        </w:rPr>
      </w:pPr>
    </w:p>
    <w:p>
      <w:pPr>
        <w:rPr>
          <w:rFonts w:hint="eastAsia"/>
        </w:rPr>
      </w:pPr>
    </w:p>
    <w:tbl>
      <w:tblPr>
        <w:tblStyle w:val="6"/>
        <w:tblW w:w="12480" w:type="dxa"/>
        <w:jc w:val="center"/>
        <w:tblInd w:w="0" w:type="dxa"/>
        <w:tblLayout w:type="fixed"/>
        <w:tblCellMar>
          <w:top w:w="0" w:type="dxa"/>
          <w:left w:w="108" w:type="dxa"/>
          <w:bottom w:w="0" w:type="dxa"/>
          <w:right w:w="108" w:type="dxa"/>
        </w:tblCellMar>
      </w:tblPr>
      <w:tblGrid>
        <w:gridCol w:w="748"/>
        <w:gridCol w:w="1677"/>
        <w:gridCol w:w="979"/>
        <w:gridCol w:w="826"/>
        <w:gridCol w:w="1040"/>
        <w:gridCol w:w="1040"/>
        <w:gridCol w:w="1180"/>
        <w:gridCol w:w="900"/>
        <w:gridCol w:w="1040"/>
        <w:gridCol w:w="1040"/>
        <w:gridCol w:w="1020"/>
        <w:gridCol w:w="990"/>
      </w:tblGrid>
      <w:tr>
        <w:tblPrEx>
          <w:tblLayout w:type="fixed"/>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Layout w:type="fixed"/>
          <w:tblCellMar>
            <w:top w:w="0" w:type="dxa"/>
            <w:left w:w="108" w:type="dxa"/>
            <w:bottom w:w="0" w:type="dxa"/>
            <w:right w:w="108" w:type="dxa"/>
          </w:tblCellMar>
        </w:tblPrEx>
        <w:trPr>
          <w:trHeight w:val="285" w:hRule="atLeast"/>
          <w:jc w:val="center"/>
        </w:trPr>
        <w:tc>
          <w:tcPr>
            <w:tcW w:w="748" w:type="dxa"/>
            <w:tcBorders>
              <w:top w:val="nil"/>
              <w:left w:val="nil"/>
              <w:bottom w:val="nil"/>
              <w:right w:val="nil"/>
            </w:tcBorders>
            <w:vAlign w:val="bottom"/>
          </w:tcPr>
          <w:p>
            <w:pPr>
              <w:widowControl/>
              <w:jc w:val="left"/>
              <w:rPr>
                <w:rFonts w:ascii="仿宋_GB2312" w:hAnsi="宋体" w:cs="宋体"/>
                <w:kern w:val="0"/>
                <w:sz w:val="24"/>
              </w:rPr>
            </w:pPr>
          </w:p>
        </w:tc>
        <w:tc>
          <w:tcPr>
            <w:tcW w:w="1677" w:type="dxa"/>
            <w:tcBorders>
              <w:top w:val="nil"/>
              <w:left w:val="nil"/>
              <w:bottom w:val="nil"/>
              <w:right w:val="nil"/>
            </w:tcBorders>
            <w:vAlign w:val="bottom"/>
          </w:tcPr>
          <w:p>
            <w:pPr>
              <w:widowControl/>
              <w:jc w:val="left"/>
              <w:rPr>
                <w:rFonts w:ascii="仿宋_GB2312" w:hAnsi="宋体" w:cs="宋体"/>
                <w:kern w:val="0"/>
                <w:sz w:val="24"/>
              </w:rPr>
            </w:pPr>
          </w:p>
        </w:tc>
        <w:tc>
          <w:tcPr>
            <w:tcW w:w="979" w:type="dxa"/>
            <w:tcBorders>
              <w:top w:val="nil"/>
              <w:left w:val="nil"/>
              <w:bottom w:val="nil"/>
              <w:right w:val="nil"/>
            </w:tcBorders>
            <w:vAlign w:val="bottom"/>
          </w:tcPr>
          <w:p>
            <w:pPr>
              <w:widowControl/>
              <w:jc w:val="left"/>
              <w:rPr>
                <w:rFonts w:ascii="仿宋_GB2312" w:hAnsi="宋体" w:cs="宋体"/>
                <w:kern w:val="0"/>
                <w:sz w:val="24"/>
              </w:rPr>
            </w:pPr>
          </w:p>
        </w:tc>
        <w:tc>
          <w:tcPr>
            <w:tcW w:w="826"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180" w:type="dxa"/>
            <w:tcBorders>
              <w:top w:val="nil"/>
              <w:left w:val="nil"/>
              <w:bottom w:val="nil"/>
              <w:right w:val="nil"/>
            </w:tcBorders>
            <w:vAlign w:val="bottom"/>
          </w:tcPr>
          <w:p>
            <w:pPr>
              <w:widowControl/>
              <w:jc w:val="left"/>
              <w:rPr>
                <w:rFonts w:ascii="仿宋_GB2312" w:hAnsi="宋体" w:cs="宋体"/>
                <w:kern w:val="0"/>
                <w:sz w:val="24"/>
              </w:rPr>
            </w:pPr>
          </w:p>
        </w:tc>
        <w:tc>
          <w:tcPr>
            <w:tcW w:w="90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Layout w:type="fixed"/>
          <w:tblCellMar>
            <w:top w:w="0" w:type="dxa"/>
            <w:left w:w="108" w:type="dxa"/>
            <w:bottom w:w="0" w:type="dxa"/>
            <w:right w:w="108" w:type="dxa"/>
          </w:tblCellMar>
        </w:tblPrEx>
        <w:trPr>
          <w:trHeight w:val="405" w:hRule="atLeast"/>
          <w:jc w:val="center"/>
        </w:trPr>
        <w:tc>
          <w:tcPr>
            <w:tcW w:w="748"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支出功能分类</w:t>
            </w:r>
            <w:r>
              <w:rPr>
                <w:rFonts w:hint="eastAsia" w:ascii="宋体" w:hAnsi="宋体" w:cs="宋体"/>
                <w:kern w:val="0"/>
                <w:sz w:val="22"/>
                <w:szCs w:val="22"/>
              </w:rPr>
              <w:t>科目编码</w:t>
            </w:r>
          </w:p>
        </w:tc>
        <w:tc>
          <w:tcPr>
            <w:tcW w:w="16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w:t>
            </w:r>
            <w:r>
              <w:rPr>
                <w:rFonts w:hint="eastAsia" w:ascii="宋体" w:hAnsi="宋体" w:cs="宋体"/>
                <w:color w:val="000000"/>
                <w:kern w:val="0"/>
                <w:sz w:val="22"/>
                <w:szCs w:val="22"/>
                <w:lang w:eastAsia="zh-CN"/>
              </w:rPr>
              <w:t>初</w:t>
            </w:r>
            <w:r>
              <w:rPr>
                <w:rFonts w:hint="eastAsia" w:ascii="宋体" w:hAnsi="宋体" w:cs="宋体"/>
                <w:color w:val="000000"/>
                <w:kern w:val="0"/>
                <w:sz w:val="22"/>
                <w:szCs w:val="22"/>
              </w:rPr>
              <w:t>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Layout w:type="fixed"/>
          <w:tblCellMar>
            <w:top w:w="0" w:type="dxa"/>
            <w:left w:w="108" w:type="dxa"/>
            <w:bottom w:w="0" w:type="dxa"/>
            <w:right w:w="108" w:type="dxa"/>
          </w:tblCellMar>
        </w:tblPrEx>
        <w:trPr>
          <w:trHeight w:val="312" w:hRule="atLeast"/>
          <w:jc w:val="center"/>
        </w:trPr>
        <w:tc>
          <w:tcPr>
            <w:tcW w:w="748"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979"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826"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9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Layout w:type="fixed"/>
          <w:tblCellMar>
            <w:top w:w="0" w:type="dxa"/>
            <w:left w:w="108" w:type="dxa"/>
            <w:bottom w:w="0" w:type="dxa"/>
            <w:right w:w="108" w:type="dxa"/>
          </w:tblCellMar>
        </w:tblPrEx>
        <w:trPr>
          <w:trHeight w:val="312" w:hRule="atLeast"/>
          <w:jc w:val="center"/>
        </w:trPr>
        <w:tc>
          <w:tcPr>
            <w:tcW w:w="748"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6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979"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82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　合  计</w:t>
            </w:r>
          </w:p>
        </w:tc>
        <w:tc>
          <w:tcPr>
            <w:tcW w:w="9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120.08</w:t>
            </w:r>
          </w:p>
        </w:tc>
        <w:tc>
          <w:tcPr>
            <w:tcW w:w="8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4.97</w:t>
            </w:r>
          </w:p>
        </w:tc>
        <w:tc>
          <w:tcPr>
            <w:tcW w:w="10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115.11</w:t>
            </w:r>
          </w:p>
        </w:tc>
        <w:tc>
          <w:tcPr>
            <w:tcW w:w="10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3,106.49</w:t>
            </w:r>
          </w:p>
        </w:tc>
        <w:tc>
          <w:tcPr>
            <w:tcW w:w="11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2,586.43</w:t>
            </w: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3.31</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2,583.11</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640.14</w:t>
            </w:r>
          </w:p>
        </w:tc>
        <w:tc>
          <w:tcPr>
            <w:tcW w:w="102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1.65</w:t>
            </w:r>
          </w:p>
        </w:tc>
        <w:tc>
          <w:tcPr>
            <w:tcW w:w="99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638.49</w:t>
            </w:r>
          </w:p>
        </w:tc>
      </w:tr>
      <w:tr>
        <w:tblPrEx>
          <w:tblLayout w:type="fixed"/>
          <w:tblCellMar>
            <w:top w:w="0" w:type="dxa"/>
            <w:left w:w="108" w:type="dxa"/>
            <w:bottom w:w="0" w:type="dxa"/>
            <w:right w:w="108" w:type="dxa"/>
          </w:tblCellMar>
        </w:tblPrEx>
        <w:trPr>
          <w:trHeight w:val="285" w:hRule="atLeast"/>
          <w:jc w:val="center"/>
        </w:trPr>
        <w:tc>
          <w:tcPr>
            <w:tcW w:w="74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229</w:t>
            </w:r>
          </w:p>
        </w:tc>
        <w:tc>
          <w:tcPr>
            <w:tcW w:w="16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其他支出</w:t>
            </w:r>
          </w:p>
        </w:tc>
        <w:tc>
          <w:tcPr>
            <w:tcW w:w="97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120.08</w:t>
            </w:r>
          </w:p>
        </w:tc>
        <w:tc>
          <w:tcPr>
            <w:tcW w:w="8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4.97</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115.11</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3,106.49</w:t>
            </w:r>
          </w:p>
        </w:tc>
        <w:tc>
          <w:tcPr>
            <w:tcW w:w="11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2,586.43</w:t>
            </w: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3.31</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2583.11</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640.14</w:t>
            </w:r>
          </w:p>
        </w:tc>
        <w:tc>
          <w:tcPr>
            <w:tcW w:w="102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1.65</w:t>
            </w:r>
          </w:p>
        </w:tc>
        <w:tc>
          <w:tcPr>
            <w:tcW w:w="99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638.49</w:t>
            </w:r>
          </w:p>
        </w:tc>
      </w:tr>
      <w:tr>
        <w:tblPrEx>
          <w:tblLayout w:type="fixed"/>
          <w:tblCellMar>
            <w:top w:w="0" w:type="dxa"/>
            <w:left w:w="108" w:type="dxa"/>
            <w:bottom w:w="0" w:type="dxa"/>
            <w:right w:w="108" w:type="dxa"/>
          </w:tblCellMar>
        </w:tblPrEx>
        <w:trPr>
          <w:trHeight w:val="285" w:hRule="atLeast"/>
          <w:jc w:val="center"/>
        </w:trPr>
        <w:tc>
          <w:tcPr>
            <w:tcW w:w="74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22908</w:t>
            </w:r>
          </w:p>
        </w:tc>
        <w:tc>
          <w:tcPr>
            <w:tcW w:w="16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彩票发行销售机构业务费安排的支出</w:t>
            </w:r>
          </w:p>
        </w:tc>
        <w:tc>
          <w:tcPr>
            <w:tcW w:w="97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66.02</w:t>
            </w:r>
          </w:p>
        </w:tc>
        <w:tc>
          <w:tcPr>
            <w:tcW w:w="8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66.02</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1,327.53</w:t>
            </w:r>
          </w:p>
        </w:tc>
        <w:tc>
          <w:tcPr>
            <w:tcW w:w="11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1,312.42</w:t>
            </w: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1312.42</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81.14</w:t>
            </w:r>
          </w:p>
        </w:tc>
        <w:tc>
          <w:tcPr>
            <w:tcW w:w="102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0</w:t>
            </w:r>
          </w:p>
        </w:tc>
        <w:tc>
          <w:tcPr>
            <w:tcW w:w="99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81.14</w:t>
            </w:r>
          </w:p>
        </w:tc>
      </w:tr>
      <w:tr>
        <w:tblPrEx>
          <w:tblLayout w:type="fixed"/>
          <w:tblCellMar>
            <w:top w:w="0" w:type="dxa"/>
            <w:left w:w="108" w:type="dxa"/>
            <w:bottom w:w="0" w:type="dxa"/>
            <w:right w:w="108" w:type="dxa"/>
          </w:tblCellMar>
        </w:tblPrEx>
        <w:trPr>
          <w:trHeight w:val="285" w:hRule="atLeast"/>
          <w:jc w:val="center"/>
        </w:trPr>
        <w:tc>
          <w:tcPr>
            <w:tcW w:w="74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2290804</w:t>
            </w:r>
          </w:p>
        </w:tc>
        <w:tc>
          <w:tcPr>
            <w:tcW w:w="16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 xml:space="preserve">  福利彩票销售机构的业务费支出</w:t>
            </w:r>
          </w:p>
        </w:tc>
        <w:tc>
          <w:tcPr>
            <w:tcW w:w="97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66.02</w:t>
            </w:r>
          </w:p>
        </w:tc>
        <w:tc>
          <w:tcPr>
            <w:tcW w:w="8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66.02</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1327.53</w:t>
            </w:r>
          </w:p>
        </w:tc>
        <w:tc>
          <w:tcPr>
            <w:tcW w:w="11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1312.42</w:t>
            </w: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1312.42</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81.14</w:t>
            </w:r>
          </w:p>
        </w:tc>
        <w:tc>
          <w:tcPr>
            <w:tcW w:w="102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0</w:t>
            </w:r>
          </w:p>
        </w:tc>
        <w:tc>
          <w:tcPr>
            <w:tcW w:w="99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81.14</w:t>
            </w:r>
          </w:p>
        </w:tc>
      </w:tr>
      <w:tr>
        <w:tblPrEx>
          <w:tblLayout w:type="fixed"/>
          <w:tblCellMar>
            <w:top w:w="0" w:type="dxa"/>
            <w:left w:w="108" w:type="dxa"/>
            <w:bottom w:w="0" w:type="dxa"/>
            <w:right w:w="108" w:type="dxa"/>
          </w:tblCellMar>
        </w:tblPrEx>
        <w:trPr>
          <w:trHeight w:val="285" w:hRule="atLeast"/>
          <w:jc w:val="center"/>
        </w:trPr>
        <w:tc>
          <w:tcPr>
            <w:tcW w:w="74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22960</w:t>
            </w:r>
          </w:p>
        </w:tc>
        <w:tc>
          <w:tcPr>
            <w:tcW w:w="16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彩票公益金安排的支出</w:t>
            </w:r>
          </w:p>
        </w:tc>
        <w:tc>
          <w:tcPr>
            <w:tcW w:w="97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54.05</w:t>
            </w:r>
          </w:p>
        </w:tc>
        <w:tc>
          <w:tcPr>
            <w:tcW w:w="8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4.97</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49.09</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1778.96</w:t>
            </w:r>
          </w:p>
        </w:tc>
        <w:tc>
          <w:tcPr>
            <w:tcW w:w="11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1274.01</w:t>
            </w: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3.31</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1270.69</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559.01</w:t>
            </w:r>
          </w:p>
        </w:tc>
        <w:tc>
          <w:tcPr>
            <w:tcW w:w="102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1.65</w:t>
            </w:r>
          </w:p>
        </w:tc>
        <w:tc>
          <w:tcPr>
            <w:tcW w:w="99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557.36</w:t>
            </w:r>
          </w:p>
        </w:tc>
      </w:tr>
      <w:tr>
        <w:tblPrEx>
          <w:tblLayout w:type="fixed"/>
          <w:tblCellMar>
            <w:top w:w="0" w:type="dxa"/>
            <w:left w:w="108" w:type="dxa"/>
            <w:bottom w:w="0" w:type="dxa"/>
            <w:right w:w="108" w:type="dxa"/>
          </w:tblCellMar>
        </w:tblPrEx>
        <w:trPr>
          <w:trHeight w:val="285" w:hRule="atLeast"/>
          <w:jc w:val="center"/>
        </w:trPr>
        <w:tc>
          <w:tcPr>
            <w:tcW w:w="74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2296002</w:t>
            </w:r>
          </w:p>
        </w:tc>
        <w:tc>
          <w:tcPr>
            <w:tcW w:w="16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 xml:space="preserve">  用于社会福利的彩票公益金支出</w:t>
            </w:r>
          </w:p>
        </w:tc>
        <w:tc>
          <w:tcPr>
            <w:tcW w:w="97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54.05</w:t>
            </w:r>
          </w:p>
        </w:tc>
        <w:tc>
          <w:tcPr>
            <w:tcW w:w="8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4.97</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49.09</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1778.96</w:t>
            </w:r>
          </w:p>
        </w:tc>
        <w:tc>
          <w:tcPr>
            <w:tcW w:w="11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1274.01</w:t>
            </w: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3.31</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1270.69</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559.01</w:t>
            </w:r>
          </w:p>
        </w:tc>
        <w:tc>
          <w:tcPr>
            <w:tcW w:w="102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1.65</w:t>
            </w:r>
          </w:p>
        </w:tc>
        <w:tc>
          <w:tcPr>
            <w:tcW w:w="99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557.36</w:t>
            </w:r>
          </w:p>
        </w:tc>
      </w:tr>
    </w:tbl>
    <w:p>
      <w:pPr>
        <w:spacing w:line="560" w:lineRule="exact"/>
        <w:rPr>
          <w:rFonts w:hint="eastAsia" w:ascii="仿宋_GB2312" w:eastAsia="仿宋_GB2312"/>
          <w:b/>
          <w:sz w:val="32"/>
          <w:szCs w:val="32"/>
        </w:rPr>
        <w:sectPr>
          <w:pgSz w:w="16838" w:h="11906" w:orient="landscape"/>
          <w:pgMar w:top="1797" w:right="1440" w:bottom="1797" w:left="1440" w:header="851" w:footer="992" w:gutter="0"/>
          <w:pgNumType w:fmt="numberInDash"/>
          <w:cols w:space="720" w:num="1"/>
          <w:docGrid w:type="lines" w:linePitch="312" w:charSpace="0"/>
        </w:sectPr>
      </w:pPr>
      <w:r>
        <w:rPr>
          <w:rFonts w:hint="eastAsia"/>
          <w:lang w:val="en-US" w:eastAsia="zh-CN"/>
        </w:rPr>
        <w:t xml:space="preserve">    </w:t>
      </w:r>
      <w:r>
        <w:rPr>
          <w:rFonts w:hint="eastAsia"/>
          <w:lang w:eastAsia="zh-CN"/>
        </w:rPr>
        <w:t>注：本表反映部门本年度政府性基金预算财政拨款收入支出及结转和结余情况。</w:t>
      </w:r>
    </w:p>
    <w:p>
      <w:pPr>
        <w:spacing w:line="560" w:lineRule="exact"/>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柳州市民政局201</w:t>
      </w:r>
      <w:r>
        <w:rPr>
          <w:rFonts w:hint="eastAsia" w:ascii="仿宋_GB2312" w:eastAsia="仿宋_GB2312"/>
          <w:b/>
          <w:sz w:val="32"/>
          <w:szCs w:val="32"/>
          <w:lang w:val="en-US" w:eastAsia="zh-CN"/>
        </w:rPr>
        <w:t>9</w:t>
      </w:r>
      <w:r>
        <w:rPr>
          <w:rFonts w:hint="eastAsia" w:ascii="仿宋_GB2312" w:eastAsia="仿宋_GB2312"/>
          <w:b/>
          <w:sz w:val="32"/>
          <w:szCs w:val="32"/>
        </w:rPr>
        <w:t>年度部门决算情况说明</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hint="default" w:ascii="仿宋_GB2312" w:eastAsia="仿宋_GB2312" w:cs="仿宋_GB2312"/>
          <w:b w:val="0"/>
          <w:bCs/>
          <w:kern w:val="0"/>
          <w:sz w:val="32"/>
          <w:szCs w:val="32"/>
          <w:lang w:val="en-US" w:eastAsia="zh-CN"/>
        </w:rPr>
      </w:pPr>
      <w:r>
        <w:rPr>
          <w:rFonts w:hint="eastAsia" w:ascii="仿宋_GB2312" w:eastAsia="仿宋_GB2312" w:cs="仿宋_GB2312"/>
          <w:b/>
          <w:kern w:val="0"/>
          <w:sz w:val="32"/>
          <w:szCs w:val="32"/>
        </w:rPr>
        <w:t xml:space="preserve"> </w:t>
      </w: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9</w:t>
      </w:r>
      <w:r>
        <w:rPr>
          <w:rFonts w:hint="eastAsia" w:ascii="仿宋_GB2312" w:eastAsia="仿宋_GB2312" w:cs="仿宋_GB2312"/>
          <w:b w:val="0"/>
          <w:bCs/>
          <w:kern w:val="0"/>
          <w:sz w:val="32"/>
          <w:szCs w:val="32"/>
        </w:rPr>
        <w:t>年度收入总计33,548.63万元，支出总计31,480.63万元，与</w:t>
      </w: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8</w:t>
      </w:r>
      <w:r>
        <w:rPr>
          <w:rFonts w:hint="eastAsia" w:ascii="仿宋_GB2312" w:eastAsia="仿宋_GB2312" w:cs="仿宋_GB2312"/>
          <w:b w:val="0"/>
          <w:bCs/>
          <w:kern w:val="0"/>
          <w:sz w:val="32"/>
          <w:szCs w:val="32"/>
        </w:rPr>
        <w:t>年相比，收</w:t>
      </w:r>
      <w:r>
        <w:rPr>
          <w:rFonts w:hint="eastAsia" w:ascii="仿宋_GB2312" w:eastAsia="仿宋_GB2312" w:cs="仿宋_GB2312"/>
          <w:b w:val="0"/>
          <w:bCs/>
          <w:kern w:val="0"/>
          <w:sz w:val="32"/>
          <w:szCs w:val="32"/>
          <w:lang w:eastAsia="zh-CN"/>
        </w:rPr>
        <w:t>入减少</w:t>
      </w:r>
      <w:r>
        <w:rPr>
          <w:rFonts w:hint="eastAsia" w:ascii="仿宋_GB2312" w:eastAsia="仿宋_GB2312" w:cs="仿宋_GB2312"/>
          <w:b w:val="0"/>
          <w:bCs/>
          <w:kern w:val="0"/>
          <w:sz w:val="32"/>
          <w:szCs w:val="32"/>
          <w:lang w:val="en-US" w:eastAsia="zh-CN"/>
        </w:rPr>
        <w:t>894.28万元、支出减少1719.03万元</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eastAsia="zh-CN"/>
        </w:rPr>
        <w:t>收入</w:t>
      </w:r>
      <w:r>
        <w:rPr>
          <w:rFonts w:hint="eastAsia" w:ascii="仿宋_GB2312" w:eastAsia="仿宋_GB2312" w:cs="仿宋_GB2312"/>
          <w:bCs/>
          <w:kern w:val="0"/>
          <w:sz w:val="32"/>
          <w:szCs w:val="32"/>
        </w:rPr>
        <w:t>降低</w:t>
      </w:r>
      <w:r>
        <w:rPr>
          <w:rFonts w:hint="eastAsia" w:ascii="仿宋_GB2312" w:eastAsia="仿宋_GB2312" w:cs="仿宋_GB2312"/>
          <w:bCs/>
          <w:kern w:val="0"/>
          <w:sz w:val="32"/>
          <w:szCs w:val="32"/>
          <w:lang w:val="en-US" w:eastAsia="zh-CN"/>
        </w:rPr>
        <w:t>3</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eastAsia="zh-CN"/>
        </w:rPr>
        <w:t>，支出降低</w:t>
      </w:r>
      <w:r>
        <w:rPr>
          <w:rFonts w:hint="eastAsia" w:ascii="仿宋_GB2312" w:eastAsia="仿宋_GB2312" w:cs="仿宋_GB2312"/>
          <w:b w:val="0"/>
          <w:bCs/>
          <w:kern w:val="0"/>
          <w:sz w:val="32"/>
          <w:szCs w:val="32"/>
          <w:lang w:val="en-US" w:eastAsia="zh-CN"/>
        </w:rPr>
        <w:t>5%。</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t>二、</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hint="eastAsia" w:ascii="仿宋_GB2312" w:eastAsia="仿宋_GB2312" w:cs="仿宋_GB2312"/>
          <w:b/>
          <w:kern w:val="0"/>
          <w:sz w:val="32"/>
          <w:szCs w:val="32"/>
        </w:rPr>
      </w:pPr>
      <w:r>
        <w:rPr>
          <w:rFonts w:hint="eastAsia" w:ascii="仿宋_GB2312" w:eastAsia="仿宋_GB2312" w:cs="仿宋_GB2312"/>
          <w:b w:val="0"/>
          <w:bCs/>
          <w:kern w:val="0"/>
          <w:sz w:val="32"/>
          <w:szCs w:val="32"/>
        </w:rPr>
        <w:t>本年收入总计33,548.63万元 ，其中：</w:t>
      </w:r>
      <w:r>
        <w:rPr>
          <w:rFonts w:hint="eastAsia" w:ascii="仿宋_GB2312" w:eastAsia="仿宋_GB2312" w:cs="仿宋_GB2312"/>
          <w:b w:val="0"/>
          <w:bCs/>
          <w:kern w:val="0"/>
          <w:sz w:val="32"/>
          <w:szCs w:val="32"/>
          <w:lang w:eastAsia="zh-CN"/>
        </w:rPr>
        <w:t>一般公共预算财政拨款</w:t>
      </w:r>
      <w:r>
        <w:rPr>
          <w:rFonts w:hint="eastAsia" w:ascii="仿宋_GB2312" w:eastAsia="仿宋_GB2312" w:cs="仿宋_GB2312"/>
          <w:b w:val="0"/>
          <w:bCs/>
          <w:kern w:val="0"/>
          <w:sz w:val="32"/>
          <w:szCs w:val="32"/>
        </w:rPr>
        <w:t>收入26,143.15万元；占比</w:t>
      </w:r>
      <w:r>
        <w:rPr>
          <w:rFonts w:hint="eastAsia" w:ascii="仿宋_GB2312" w:eastAsia="仿宋_GB2312" w:cs="仿宋_GB2312"/>
          <w:b w:val="0"/>
          <w:bCs/>
          <w:kern w:val="0"/>
          <w:sz w:val="32"/>
          <w:szCs w:val="32"/>
          <w:lang w:val="en-US" w:eastAsia="zh-CN"/>
        </w:rPr>
        <w:t>78</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eastAsia="zh-CN"/>
        </w:rPr>
        <w:t>政府基金预算财政拨款收入</w:t>
      </w:r>
      <w:r>
        <w:rPr>
          <w:rFonts w:hint="eastAsia" w:ascii="仿宋_GB2312" w:eastAsia="仿宋_GB2312" w:cs="仿宋_GB2312"/>
          <w:b w:val="0"/>
          <w:bCs/>
          <w:kern w:val="0"/>
          <w:sz w:val="32"/>
          <w:szCs w:val="32"/>
          <w:lang w:val="en-US" w:eastAsia="zh-CN"/>
        </w:rPr>
        <w:t>3,106.49万元；占比9%；</w:t>
      </w:r>
      <w:r>
        <w:rPr>
          <w:rFonts w:hint="eastAsia" w:ascii="仿宋_GB2312" w:eastAsia="仿宋_GB2312" w:cs="仿宋_GB2312"/>
          <w:b w:val="0"/>
          <w:bCs/>
          <w:kern w:val="0"/>
          <w:sz w:val="32"/>
          <w:szCs w:val="32"/>
        </w:rPr>
        <w:t>上级补助收入65.66万元，占比</w:t>
      </w:r>
      <w:r>
        <w:rPr>
          <w:rFonts w:hint="eastAsia" w:ascii="仿宋_GB2312" w:eastAsia="仿宋_GB2312" w:cs="仿宋_GB2312"/>
          <w:b w:val="0"/>
          <w:bCs/>
          <w:kern w:val="0"/>
          <w:sz w:val="32"/>
          <w:szCs w:val="32"/>
          <w:lang w:val="en-US" w:eastAsia="zh-CN"/>
        </w:rPr>
        <w:t>0.02%</w:t>
      </w:r>
      <w:r>
        <w:rPr>
          <w:rFonts w:hint="eastAsia" w:ascii="仿宋_GB2312" w:eastAsia="仿宋_GB2312" w:cs="仿宋_GB2312"/>
          <w:b w:val="0"/>
          <w:bCs/>
          <w:kern w:val="0"/>
          <w:sz w:val="32"/>
          <w:szCs w:val="32"/>
        </w:rPr>
        <w:t>；事业收入1,948.34万元，占比</w:t>
      </w:r>
      <w:r>
        <w:rPr>
          <w:rFonts w:hint="eastAsia" w:ascii="仿宋_GB2312" w:eastAsia="仿宋_GB2312" w:cs="仿宋_GB2312"/>
          <w:b w:val="0"/>
          <w:bCs/>
          <w:kern w:val="0"/>
          <w:sz w:val="32"/>
          <w:szCs w:val="32"/>
          <w:lang w:val="en-US" w:eastAsia="zh-CN"/>
        </w:rPr>
        <w:t>6%</w:t>
      </w:r>
      <w:r>
        <w:rPr>
          <w:rFonts w:hint="eastAsia" w:ascii="仿宋_GB2312" w:eastAsia="仿宋_GB2312" w:cs="仿宋_GB2312"/>
          <w:b w:val="0"/>
          <w:bCs/>
          <w:kern w:val="0"/>
          <w:sz w:val="32"/>
          <w:szCs w:val="32"/>
        </w:rPr>
        <w:t>；其他收入2,284.98万元，占比</w:t>
      </w:r>
      <w:r>
        <w:rPr>
          <w:rFonts w:hint="eastAsia" w:ascii="仿宋_GB2312" w:eastAsia="仿宋_GB2312" w:cs="仿宋_GB2312"/>
          <w:b w:val="0"/>
          <w:bCs/>
          <w:kern w:val="0"/>
          <w:sz w:val="32"/>
          <w:szCs w:val="32"/>
          <w:lang w:val="en-US" w:eastAsia="zh-CN"/>
        </w:rPr>
        <w:t>7%</w:t>
      </w:r>
      <w:r>
        <w:rPr>
          <w:rFonts w:hint="eastAsia" w:ascii="仿宋_GB2312" w:eastAsia="仿宋_GB2312" w:cs="仿宋_GB2312"/>
          <w:b w:val="0"/>
          <w:bCs/>
          <w:kern w:val="0"/>
          <w:sz w:val="32"/>
          <w:szCs w:val="32"/>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t>三、</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w:t>
      </w:r>
      <w:r>
        <w:rPr>
          <w:rFonts w:hint="eastAsia" w:ascii="仿宋_GB2312" w:eastAsia="仿宋_GB2312" w:cs="仿宋_GB2312"/>
          <w:b/>
          <w:kern w:val="0"/>
          <w:sz w:val="32"/>
          <w:szCs w:val="32"/>
          <w:lang w:eastAsia="zh-CN"/>
        </w:rPr>
        <w:t>支出</w:t>
      </w:r>
      <w:r>
        <w:rPr>
          <w:rFonts w:hint="eastAsia" w:ascii="仿宋_GB2312" w:eastAsia="仿宋_GB2312" w:cs="仿宋_GB2312"/>
          <w:b/>
          <w:kern w:val="0"/>
          <w:sz w:val="32"/>
          <w:szCs w:val="32"/>
        </w:rPr>
        <w:t>决算情况</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lang w:val="en-US" w:eastAsia="zh-CN"/>
        </w:rPr>
      </w:pPr>
      <w:r>
        <w:rPr>
          <w:rFonts w:hint="eastAsia" w:ascii="仿宋_GB2312" w:eastAsia="仿宋_GB2312" w:cs="仿宋_GB2312"/>
          <w:b w:val="0"/>
          <w:bCs/>
          <w:kern w:val="0"/>
          <w:sz w:val="32"/>
          <w:szCs w:val="32"/>
        </w:rPr>
        <w:t>本年支出合计31,480.63万元（逐项说明），其中：基本支出10,224.53万元，占</w:t>
      </w:r>
      <w:r>
        <w:rPr>
          <w:rFonts w:hint="eastAsia" w:ascii="仿宋_GB2312" w:eastAsia="仿宋_GB2312" w:cs="仿宋_GB2312"/>
          <w:b w:val="0"/>
          <w:bCs/>
          <w:kern w:val="0"/>
          <w:sz w:val="32"/>
          <w:szCs w:val="32"/>
          <w:lang w:val="en-US" w:eastAsia="zh-CN"/>
        </w:rPr>
        <w:t>32</w:t>
      </w:r>
      <w:r>
        <w:rPr>
          <w:rFonts w:hint="eastAsia" w:ascii="仿宋_GB2312" w:eastAsia="仿宋_GB2312" w:cs="仿宋_GB2312"/>
          <w:b w:val="0"/>
          <w:bCs/>
          <w:kern w:val="0"/>
          <w:sz w:val="32"/>
          <w:szCs w:val="32"/>
        </w:rPr>
        <w:t>%；项目支出21,256.11万元， 占</w:t>
      </w:r>
      <w:r>
        <w:rPr>
          <w:rFonts w:hint="eastAsia" w:ascii="仿宋_GB2312" w:eastAsia="仿宋_GB2312" w:cs="仿宋_GB2312"/>
          <w:b w:val="0"/>
          <w:bCs/>
          <w:kern w:val="0"/>
          <w:sz w:val="32"/>
          <w:szCs w:val="32"/>
          <w:lang w:val="en-US" w:eastAsia="zh-CN"/>
        </w:rPr>
        <w:t>68</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lang w:eastAsia="zh-CN"/>
        </w:rPr>
      </w:pPr>
      <w:r>
        <w:rPr>
          <w:rFonts w:hint="eastAsia" w:ascii="仿宋_GB2312" w:eastAsia="仿宋_GB2312" w:cs="仿宋_GB2312"/>
          <w:b/>
          <w:bCs w:val="0"/>
          <w:kern w:val="0"/>
          <w:sz w:val="32"/>
          <w:szCs w:val="32"/>
          <w:lang w:eastAsia="zh-CN"/>
        </w:rPr>
        <w:t>四、</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w:t>
      </w:r>
      <w:r>
        <w:rPr>
          <w:rFonts w:hint="eastAsia" w:ascii="仿宋_GB2312" w:eastAsia="仿宋_GB2312" w:cs="仿宋_GB2312"/>
          <w:b/>
          <w:kern w:val="0"/>
          <w:sz w:val="32"/>
          <w:szCs w:val="32"/>
          <w:lang w:eastAsia="zh-CN"/>
        </w:rPr>
        <w:t>财政拨款收入支出决算情况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本部门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年度财政拨款收、支总决算29,249.65万元、28,017.81万元。与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 xml:space="preserve">8 </w:t>
      </w:r>
      <w:r>
        <w:rPr>
          <w:rFonts w:hint="eastAsia" w:ascii="仿宋_GB2312" w:eastAsia="仿宋_GB2312" w:cs="仿宋_GB2312"/>
          <w:bCs/>
          <w:kern w:val="0"/>
          <w:sz w:val="32"/>
          <w:szCs w:val="32"/>
        </w:rPr>
        <w:t>年相比，财政拨款收</w:t>
      </w:r>
      <w:r>
        <w:rPr>
          <w:rFonts w:hint="eastAsia" w:ascii="仿宋_GB2312" w:eastAsia="仿宋_GB2312" w:cs="仿宋_GB2312"/>
          <w:bCs/>
          <w:kern w:val="0"/>
          <w:sz w:val="32"/>
          <w:szCs w:val="32"/>
          <w:lang w:eastAsia="zh-CN"/>
        </w:rPr>
        <w:t>入</w:t>
      </w:r>
      <w:r>
        <w:rPr>
          <w:rFonts w:hint="eastAsia" w:ascii="仿宋_GB2312" w:eastAsia="仿宋_GB2312" w:cs="仿宋_GB2312"/>
          <w:bCs/>
          <w:kern w:val="0"/>
          <w:sz w:val="32"/>
          <w:szCs w:val="32"/>
        </w:rPr>
        <w:t>总计各</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057.79</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、降低</w:t>
      </w: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，支出总计减少</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979.7万元</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7</w:t>
      </w:r>
      <w:r>
        <w:rPr>
          <w:rFonts w:hint="eastAsia" w:ascii="仿宋_GB2312" w:eastAsia="仿宋_GB2312" w:cs="仿宋_GB2312"/>
          <w:bCs/>
          <w:kern w:val="0"/>
          <w:sz w:val="32"/>
          <w:szCs w:val="32"/>
        </w:rPr>
        <w:t>%。</w:t>
      </w:r>
    </w:p>
    <w:p>
      <w:pPr>
        <w:autoSpaceDE w:val="0"/>
        <w:autoSpaceDN w:val="0"/>
        <w:adjustRightInd w:val="0"/>
        <w:spacing w:line="560" w:lineRule="exact"/>
        <w:ind w:firstLine="643" w:firstLineChars="200"/>
        <w:jc w:val="left"/>
        <w:rPr>
          <w:rFonts w:hint="eastAsia" w:eastAsia="仿宋_GB2312"/>
          <w:b/>
          <w:kern w:val="0"/>
          <w:sz w:val="32"/>
          <w:szCs w:val="32"/>
        </w:rPr>
      </w:pPr>
      <w:r>
        <w:rPr>
          <w:rFonts w:hint="eastAsia" w:ascii="仿宋_GB2312" w:eastAsia="仿宋_GB2312" w:cs="仿宋_GB2312"/>
          <w:b/>
          <w:bCs w:val="0"/>
          <w:kern w:val="0"/>
          <w:sz w:val="32"/>
          <w:szCs w:val="32"/>
        </w:rPr>
        <w:t>五</w:t>
      </w:r>
      <w:r>
        <w:rPr>
          <w:rFonts w:hint="eastAsia" w:ascii="仿宋_GB2312" w:eastAsia="仿宋_GB2312" w:cs="仿宋_GB2312"/>
          <w:b/>
          <w:bCs w:val="0"/>
          <w:kern w:val="0"/>
          <w:sz w:val="32"/>
          <w:szCs w:val="32"/>
          <w:lang w:eastAsia="zh-CN"/>
        </w:rPr>
        <w:t>、</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eastAsia="仿宋_GB2312"/>
          <w:b/>
          <w:kern w:val="0"/>
          <w:sz w:val="32"/>
          <w:szCs w:val="32"/>
        </w:rPr>
        <w:t>年度一般公共预算财政拨款支出决算情况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部门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年度财政拨款支出28,017.81万元，占本年支出合计的</w:t>
      </w:r>
      <w:r>
        <w:rPr>
          <w:rFonts w:hint="eastAsia" w:ascii="仿宋_GB2312" w:eastAsia="仿宋_GB2312" w:cs="仿宋_GB2312"/>
          <w:bCs/>
          <w:kern w:val="0"/>
          <w:sz w:val="32"/>
          <w:szCs w:val="32"/>
          <w:lang w:val="en-US" w:eastAsia="zh-CN"/>
        </w:rPr>
        <w:t>84</w:t>
      </w:r>
      <w:r>
        <w:rPr>
          <w:rFonts w:hint="eastAsia" w:ascii="仿宋_GB2312" w:eastAsia="仿宋_GB2312" w:cs="仿宋_GB2312"/>
          <w:bCs/>
          <w:kern w:val="0"/>
          <w:sz w:val="32"/>
          <w:szCs w:val="32"/>
        </w:rPr>
        <w:t xml:space="preserve">%。与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 xml:space="preserve"> 年相比，财政拨款支出减</w:t>
      </w:r>
      <w:r>
        <w:rPr>
          <w:rFonts w:hint="eastAsia" w:ascii="仿宋_GB2312" w:eastAsia="仿宋_GB2312" w:cs="仿宋_GB2312"/>
          <w:bCs/>
          <w:kern w:val="0"/>
          <w:sz w:val="32"/>
          <w:szCs w:val="32"/>
          <w:lang w:eastAsia="zh-CN"/>
        </w:rPr>
        <w:t>少</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979.7</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7</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（二）财政拨款支出决算结构情况（根据公开表格作表述）</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年度财政拨款支出28,017.81万元，主要用于以下方面：社会保障和就业支出21,579.14万元， 占</w:t>
      </w:r>
      <w:r>
        <w:rPr>
          <w:rFonts w:hint="eastAsia" w:ascii="仿宋_GB2312" w:eastAsia="仿宋_GB2312" w:cs="仿宋_GB2312"/>
          <w:bCs/>
          <w:kern w:val="0"/>
          <w:sz w:val="32"/>
          <w:szCs w:val="32"/>
          <w:lang w:val="en-US" w:eastAsia="zh-CN"/>
        </w:rPr>
        <w:t>77</w:t>
      </w:r>
      <w:r>
        <w:rPr>
          <w:rFonts w:hint="eastAsia" w:ascii="仿宋_GB2312" w:eastAsia="仿宋_GB2312" w:cs="仿宋_GB2312"/>
          <w:bCs/>
          <w:kern w:val="0"/>
          <w:sz w:val="32"/>
          <w:szCs w:val="32"/>
        </w:rPr>
        <w:t>%；医疗卫生与计划生育支出1,909.00万元，占</w:t>
      </w:r>
      <w:r>
        <w:rPr>
          <w:rFonts w:hint="eastAsia" w:ascii="仿宋_GB2312" w:eastAsia="仿宋_GB2312" w:cs="仿宋_GB2312"/>
          <w:bCs/>
          <w:kern w:val="0"/>
          <w:sz w:val="32"/>
          <w:szCs w:val="32"/>
          <w:lang w:val="en-US" w:eastAsia="zh-CN"/>
        </w:rPr>
        <w:t>7</w:t>
      </w:r>
      <w:r>
        <w:rPr>
          <w:rFonts w:hint="eastAsia" w:ascii="仿宋_GB2312" w:eastAsia="仿宋_GB2312" w:cs="仿宋_GB2312"/>
          <w:bCs/>
          <w:kern w:val="0"/>
          <w:sz w:val="32"/>
          <w:szCs w:val="32"/>
        </w:rPr>
        <w:t>%；城乡社区支出20.00万元，占</w:t>
      </w:r>
      <w:r>
        <w:rPr>
          <w:rFonts w:hint="eastAsia" w:ascii="仿宋_GB2312" w:eastAsia="仿宋_GB2312" w:cs="仿宋_GB2312"/>
          <w:bCs/>
          <w:kern w:val="0"/>
          <w:sz w:val="32"/>
          <w:szCs w:val="32"/>
          <w:lang w:val="en-US" w:eastAsia="zh-CN"/>
        </w:rPr>
        <w:t>0.7</w:t>
      </w:r>
      <w:r>
        <w:rPr>
          <w:rFonts w:hint="eastAsia" w:ascii="仿宋_GB2312" w:eastAsia="仿宋_GB2312" w:cs="仿宋_GB2312"/>
          <w:bCs/>
          <w:kern w:val="0"/>
          <w:sz w:val="32"/>
          <w:szCs w:val="32"/>
        </w:rPr>
        <w:t>%；住房保障支出</w:t>
      </w:r>
      <w:r>
        <w:rPr>
          <w:rFonts w:hint="eastAsia" w:ascii="仿宋_GB2312" w:eastAsia="仿宋_GB2312" w:cs="仿宋_GB2312"/>
          <w:bCs/>
          <w:kern w:val="0"/>
          <w:sz w:val="32"/>
          <w:szCs w:val="32"/>
          <w:lang w:val="en-US" w:eastAsia="zh-CN"/>
        </w:rPr>
        <w:t>411.82</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，二十、粮油物资储备支出1,040.00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4</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二十一、灾害防治及应急管理支出460.61</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其他支出2,597.09</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年度财政拨款支出年初预算为19,340.17万元，支出决算为28,017.81万元，完成年初预算的</w:t>
      </w:r>
      <w:r>
        <w:rPr>
          <w:rFonts w:hint="eastAsia" w:ascii="仿宋_GB2312" w:eastAsia="仿宋_GB2312" w:cs="仿宋_GB2312"/>
          <w:bCs/>
          <w:kern w:val="0"/>
          <w:sz w:val="32"/>
          <w:szCs w:val="32"/>
          <w:lang w:val="en-US" w:eastAsia="zh-CN"/>
        </w:rPr>
        <w:t>145</w:t>
      </w:r>
      <w:r>
        <w:rPr>
          <w:rFonts w:hint="eastAsia" w:ascii="仿宋_GB2312" w:eastAsia="仿宋_GB2312" w:cs="仿宋_GB2312"/>
          <w:bCs/>
          <w:kern w:val="0"/>
          <w:sz w:val="32"/>
          <w:szCs w:val="32"/>
        </w:rPr>
        <w:t>%。决算数大于预算数的主要原因：一是年中追加安排财政拨款支出预算，涉及项目有</w:t>
      </w:r>
      <w:r>
        <w:rPr>
          <w:rFonts w:hint="eastAsia" w:ascii="仿宋_GB2312" w:eastAsia="仿宋_GB2312" w:cs="仿宋_GB2312"/>
          <w:bCs/>
          <w:kern w:val="0"/>
          <w:sz w:val="32"/>
          <w:szCs w:val="32"/>
          <w:lang w:eastAsia="zh-CN"/>
        </w:rPr>
        <w:t>福彩公益金项目、备灾仓库项目</w:t>
      </w:r>
      <w:r>
        <w:rPr>
          <w:rFonts w:hint="eastAsia" w:ascii="仿宋_GB2312" w:eastAsia="仿宋_GB2312" w:cs="仿宋_GB2312"/>
          <w:bCs/>
          <w:kern w:val="0"/>
          <w:sz w:val="32"/>
          <w:szCs w:val="32"/>
        </w:rPr>
        <w:t>；二是部分支出按规定，通过使用以前年度财政拨款结转资金解决。其中：</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color w:val="auto"/>
          <w:kern w:val="0"/>
          <w:sz w:val="32"/>
          <w:szCs w:val="32"/>
        </w:rPr>
        <w:t>1. 教育支出（类）教育管理事务（款）行政运行（项）。 年初预算为</w:t>
      </w:r>
      <w:r>
        <w:rPr>
          <w:rFonts w:hint="eastAsia" w:ascii="仿宋_GB2312" w:hAnsi="华文仿宋" w:eastAsia="仿宋_GB2312"/>
          <w:bCs/>
          <w:color w:val="auto"/>
          <w:sz w:val="32"/>
          <w:szCs w:val="32"/>
          <w:lang w:val="en-US" w:eastAsia="zh-CN"/>
        </w:rPr>
        <w:t>0</w:t>
      </w:r>
      <w:r>
        <w:rPr>
          <w:rFonts w:hint="eastAsia" w:ascii="仿宋_GB2312" w:eastAsia="仿宋_GB2312" w:cs="仿宋_GB2312"/>
          <w:bCs/>
          <w:color w:val="auto"/>
          <w:kern w:val="0"/>
          <w:sz w:val="32"/>
          <w:szCs w:val="32"/>
        </w:rPr>
        <w:t>万元，支出决算为0.15万元，完成年初预算的</w:t>
      </w:r>
      <w:r>
        <w:rPr>
          <w:rFonts w:hint="eastAsia" w:ascii="仿宋_GB2312" w:eastAsia="仿宋_GB2312" w:cs="仿宋_GB2312"/>
          <w:bCs/>
          <w:color w:val="auto"/>
          <w:kern w:val="0"/>
          <w:sz w:val="32"/>
          <w:szCs w:val="32"/>
          <w:lang w:val="en-US" w:eastAsia="zh-CN"/>
        </w:rPr>
        <w:t>100</w:t>
      </w:r>
      <w:r>
        <w:rPr>
          <w:rFonts w:hint="eastAsia" w:ascii="仿宋_GB2312" w:eastAsia="仿宋_GB2312" w:cs="仿宋_GB2312"/>
          <w:bCs/>
          <w:color w:val="auto"/>
          <w:kern w:val="0"/>
          <w:sz w:val="32"/>
          <w:szCs w:val="32"/>
        </w:rPr>
        <w:t>%。决算数大于预算数的主要原因是</w:t>
      </w:r>
      <w:r>
        <w:rPr>
          <w:rFonts w:hint="eastAsia" w:ascii="仿宋_GB2312" w:eastAsia="仿宋_GB2312" w:cs="仿宋_GB2312"/>
          <w:bCs/>
          <w:color w:val="auto"/>
          <w:kern w:val="0"/>
          <w:sz w:val="32"/>
          <w:szCs w:val="32"/>
          <w:lang w:eastAsia="zh-CN"/>
        </w:rPr>
        <w:t>备灾中心</w:t>
      </w:r>
      <w:r>
        <w:rPr>
          <w:rFonts w:hint="eastAsia" w:ascii="仿宋_GB2312" w:eastAsia="仿宋_GB2312" w:cs="仿宋_GB2312"/>
          <w:bCs/>
          <w:color w:val="auto"/>
          <w:kern w:val="0"/>
          <w:sz w:val="32"/>
          <w:szCs w:val="32"/>
        </w:rPr>
        <w:t>动用上年结余</w:t>
      </w:r>
      <w:r>
        <w:rPr>
          <w:rFonts w:hint="eastAsia" w:ascii="仿宋_GB2312" w:eastAsia="仿宋_GB2312" w:cs="仿宋_GB2312"/>
          <w:bCs/>
          <w:color w:val="auto"/>
          <w:kern w:val="0"/>
          <w:sz w:val="32"/>
          <w:szCs w:val="32"/>
          <w:lang w:eastAsia="zh-CN"/>
        </w:rPr>
        <w:t>支付绩效考评经费等</w:t>
      </w:r>
      <w:r>
        <w:rPr>
          <w:rFonts w:hint="eastAsia" w:ascii="仿宋_GB2312" w:eastAsia="仿宋_GB2312" w:cs="仿宋_GB2312"/>
          <w:bCs/>
          <w:color w:val="auto"/>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2</w:t>
      </w:r>
      <w:r>
        <w:rPr>
          <w:rFonts w:hint="eastAsia" w:ascii="仿宋_GB2312" w:eastAsia="仿宋_GB2312" w:cs="仿宋_GB2312"/>
          <w:bCs/>
          <w:color w:val="auto"/>
          <w:kern w:val="0"/>
          <w:sz w:val="32"/>
          <w:szCs w:val="32"/>
        </w:rPr>
        <w:t>. 社会保障和就业支出（类）民政管理事务（款）行政运行（项）。年初预算为</w:t>
      </w:r>
      <w:r>
        <w:rPr>
          <w:rFonts w:hint="eastAsia" w:ascii="仿宋_GB2312" w:hAnsi="华文仿宋" w:eastAsia="仿宋_GB2312"/>
          <w:bCs/>
          <w:color w:val="auto"/>
          <w:sz w:val="32"/>
          <w:szCs w:val="32"/>
        </w:rPr>
        <w:t>1,</w:t>
      </w:r>
      <w:r>
        <w:rPr>
          <w:rFonts w:hint="eastAsia" w:ascii="仿宋_GB2312" w:hAnsi="华文仿宋" w:eastAsia="仿宋_GB2312"/>
          <w:bCs/>
          <w:color w:val="auto"/>
          <w:sz w:val="32"/>
          <w:szCs w:val="32"/>
          <w:lang w:val="en-US" w:eastAsia="zh-CN"/>
        </w:rPr>
        <w:t>526.46</w:t>
      </w:r>
      <w:r>
        <w:rPr>
          <w:rFonts w:hint="eastAsia" w:ascii="仿宋_GB2312" w:eastAsia="仿宋_GB2312" w:cs="仿宋_GB2312"/>
          <w:bCs/>
          <w:color w:val="auto"/>
          <w:kern w:val="0"/>
          <w:sz w:val="32"/>
          <w:szCs w:val="32"/>
        </w:rPr>
        <w:t>万元，支出决算为1,634.86万元，完成年初预算的1</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7%。决算数大于预算数的主要原因是动用上年结余及财政拨付增资调资款、通讯补贴以及物业补贴等。</w:t>
      </w:r>
    </w:p>
    <w:p>
      <w:pPr>
        <w:autoSpaceDE w:val="0"/>
        <w:autoSpaceDN w:val="0"/>
        <w:adjustRightInd w:val="0"/>
        <w:spacing w:line="56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3</w:t>
      </w:r>
      <w:r>
        <w:rPr>
          <w:rFonts w:hint="eastAsia" w:ascii="仿宋_GB2312" w:eastAsia="仿宋_GB2312" w:cs="仿宋_GB2312"/>
          <w:bCs/>
          <w:color w:val="auto"/>
          <w:kern w:val="0"/>
          <w:sz w:val="32"/>
          <w:szCs w:val="32"/>
        </w:rPr>
        <w:t>. 社会保障和就业支出（类）民政管理事务（款）一般行政管理事务（项）。年初预算为</w:t>
      </w:r>
      <w:r>
        <w:rPr>
          <w:rFonts w:hint="eastAsia" w:ascii="仿宋_GB2312" w:hAnsi="华文仿宋" w:eastAsia="仿宋_GB2312"/>
          <w:bCs/>
          <w:color w:val="auto"/>
          <w:sz w:val="32"/>
          <w:szCs w:val="32"/>
          <w:lang w:val="en-US" w:eastAsia="zh-CN"/>
        </w:rPr>
        <w:t>241.87</w:t>
      </w:r>
      <w:r>
        <w:rPr>
          <w:rFonts w:hint="eastAsia" w:ascii="仿宋_GB2312" w:eastAsia="仿宋_GB2312" w:cs="仿宋_GB2312"/>
          <w:bCs/>
          <w:color w:val="auto"/>
          <w:kern w:val="0"/>
          <w:sz w:val="32"/>
          <w:szCs w:val="32"/>
        </w:rPr>
        <w:t>万元，支出决算为281.51万元，完成年初预算的1</w:t>
      </w:r>
      <w:r>
        <w:rPr>
          <w:rFonts w:hint="eastAsia" w:ascii="仿宋_GB2312" w:eastAsia="仿宋_GB2312" w:cs="仿宋_GB2312"/>
          <w:bCs/>
          <w:color w:val="auto"/>
          <w:kern w:val="0"/>
          <w:sz w:val="32"/>
          <w:szCs w:val="32"/>
          <w:lang w:val="en-US" w:eastAsia="zh-CN"/>
        </w:rPr>
        <w:t>16</w:t>
      </w:r>
      <w:r>
        <w:rPr>
          <w:rFonts w:hint="eastAsia" w:ascii="仿宋_GB2312" w:eastAsia="仿宋_GB2312" w:cs="仿宋_GB2312"/>
          <w:bCs/>
          <w:color w:val="auto"/>
          <w:kern w:val="0"/>
          <w:sz w:val="32"/>
          <w:szCs w:val="32"/>
        </w:rPr>
        <w:t xml:space="preserve">%。决算数大于预算数的主要原因是财政拨付绩效考评经费补差等。 </w:t>
      </w:r>
    </w:p>
    <w:p>
      <w:pPr>
        <w:spacing w:line="560" w:lineRule="exact"/>
        <w:ind w:firstLine="640" w:firstLineChars="200"/>
        <w:rPr>
          <w:rFonts w:ascii="仿宋_GB2312" w:eastAsia="仿宋_GB2312"/>
          <w:color w:val="auto"/>
          <w:sz w:val="28"/>
          <w:szCs w:val="28"/>
        </w:rPr>
      </w:pPr>
      <w:r>
        <w:rPr>
          <w:rFonts w:hint="eastAsia" w:ascii="仿宋_GB2312" w:eastAsia="仿宋_GB2312" w:cs="仿宋_GB2312"/>
          <w:bCs/>
          <w:color w:val="auto"/>
          <w:kern w:val="0"/>
          <w:sz w:val="32"/>
          <w:szCs w:val="32"/>
          <w:lang w:val="en-US" w:eastAsia="zh-CN"/>
        </w:rPr>
        <w:t>4</w:t>
      </w:r>
      <w:r>
        <w:rPr>
          <w:rFonts w:hint="eastAsia" w:ascii="仿宋_GB2312" w:eastAsia="仿宋_GB2312" w:cs="仿宋_GB2312"/>
          <w:bCs/>
          <w:color w:val="auto"/>
          <w:kern w:val="0"/>
          <w:sz w:val="32"/>
          <w:szCs w:val="32"/>
        </w:rPr>
        <w:t>. 社会保障和就业支出（类）民政管理事务（款）民间组织管理（项）。年初预算为</w:t>
      </w:r>
      <w:r>
        <w:rPr>
          <w:rFonts w:hint="eastAsia" w:ascii="仿宋_GB2312" w:hAnsi="华文仿宋" w:eastAsia="仿宋_GB2312"/>
          <w:bCs/>
          <w:color w:val="auto"/>
          <w:sz w:val="32"/>
          <w:szCs w:val="32"/>
          <w:lang w:val="en-US" w:eastAsia="zh-CN"/>
        </w:rPr>
        <w:t>30</w:t>
      </w:r>
      <w:r>
        <w:rPr>
          <w:rFonts w:hint="eastAsia" w:ascii="仿宋_GB2312" w:eastAsia="仿宋_GB2312" w:cs="仿宋_GB2312"/>
          <w:bCs/>
          <w:color w:val="auto"/>
          <w:kern w:val="0"/>
          <w:sz w:val="32"/>
          <w:szCs w:val="32"/>
        </w:rPr>
        <w:t>万元，支出决算为28.87万元，完成年初预算的9</w:t>
      </w:r>
      <w:r>
        <w:rPr>
          <w:rFonts w:hint="eastAsia" w:ascii="仿宋_GB2312" w:eastAsia="仿宋_GB2312" w:cs="仿宋_GB2312"/>
          <w:bCs/>
          <w:color w:val="auto"/>
          <w:kern w:val="0"/>
          <w:sz w:val="32"/>
          <w:szCs w:val="32"/>
          <w:lang w:val="en-US" w:eastAsia="zh-CN"/>
        </w:rPr>
        <w:t>6</w:t>
      </w:r>
      <w:r>
        <w:rPr>
          <w:rFonts w:hint="eastAsia" w:ascii="仿宋_GB2312" w:eastAsia="仿宋_GB2312" w:cs="仿宋_GB2312"/>
          <w:bCs/>
          <w:color w:val="auto"/>
          <w:kern w:val="0"/>
          <w:sz w:val="32"/>
          <w:szCs w:val="32"/>
        </w:rPr>
        <w:t>%。决算数小于预算数的主要原因是</w:t>
      </w:r>
      <w:r>
        <w:rPr>
          <w:rFonts w:hint="eastAsia" w:ascii="仿宋_GB2312" w:eastAsia="仿宋_GB2312" w:cs="仿宋_GB2312"/>
          <w:bCs/>
          <w:color w:val="auto"/>
          <w:kern w:val="0"/>
          <w:sz w:val="32"/>
          <w:szCs w:val="32"/>
          <w:lang w:eastAsia="zh-CN"/>
        </w:rPr>
        <w:t>财政局</w:t>
      </w:r>
      <w:r>
        <w:rPr>
          <w:rFonts w:hint="eastAsia" w:ascii="仿宋_GB2312" w:eastAsia="仿宋_GB2312" w:cs="仿宋_GB2312"/>
          <w:bCs/>
          <w:color w:val="auto"/>
          <w:kern w:val="0"/>
          <w:sz w:val="32"/>
          <w:szCs w:val="32"/>
        </w:rPr>
        <w:t>压减2019年部门预算一般性支出。</w:t>
      </w:r>
    </w:p>
    <w:p>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5</w:t>
      </w:r>
      <w:r>
        <w:rPr>
          <w:rFonts w:hint="eastAsia" w:ascii="仿宋_GB2312" w:eastAsia="仿宋_GB2312" w:cs="仿宋_GB2312"/>
          <w:bCs/>
          <w:color w:val="auto"/>
          <w:kern w:val="0"/>
          <w:sz w:val="32"/>
          <w:szCs w:val="32"/>
        </w:rPr>
        <w:t>. 社会保障和就业支出（类）民政管理事务（款）行政区划和地名管理（项）。年初预算为</w:t>
      </w:r>
      <w:r>
        <w:rPr>
          <w:rFonts w:hint="eastAsia" w:ascii="仿宋_GB2312" w:hAnsi="华文仿宋" w:eastAsia="仿宋_GB2312" w:cs="宋体"/>
          <w:bCs/>
          <w:color w:val="auto"/>
          <w:kern w:val="0"/>
          <w:sz w:val="32"/>
          <w:szCs w:val="32"/>
          <w:lang w:val="en-US" w:eastAsia="zh-CN"/>
        </w:rPr>
        <w:t>156</w:t>
      </w:r>
      <w:r>
        <w:rPr>
          <w:rFonts w:hint="eastAsia" w:ascii="仿宋_GB2312" w:eastAsia="仿宋_GB2312" w:cs="仿宋_GB2312"/>
          <w:bCs/>
          <w:color w:val="auto"/>
          <w:kern w:val="0"/>
          <w:sz w:val="32"/>
          <w:szCs w:val="32"/>
        </w:rPr>
        <w:t>万元，支出决算为130.06万元，完成年初预算的</w:t>
      </w:r>
      <w:r>
        <w:rPr>
          <w:rFonts w:hint="eastAsia" w:ascii="仿宋_GB2312" w:eastAsia="仿宋_GB2312" w:cs="仿宋_GB2312"/>
          <w:bCs/>
          <w:color w:val="auto"/>
          <w:kern w:val="0"/>
          <w:sz w:val="32"/>
          <w:szCs w:val="32"/>
          <w:lang w:val="en-US" w:eastAsia="zh-CN"/>
        </w:rPr>
        <w:t>83</w:t>
      </w:r>
      <w:r>
        <w:rPr>
          <w:rFonts w:hint="eastAsia" w:ascii="仿宋_GB2312" w:eastAsia="仿宋_GB2312" w:cs="仿宋_GB2312"/>
          <w:bCs/>
          <w:color w:val="auto"/>
          <w:kern w:val="0"/>
          <w:sz w:val="32"/>
          <w:szCs w:val="32"/>
        </w:rPr>
        <w:t>%。决算数</w:t>
      </w:r>
      <w:r>
        <w:rPr>
          <w:rFonts w:hint="eastAsia" w:ascii="仿宋_GB2312" w:eastAsia="仿宋_GB2312" w:cs="仿宋_GB2312"/>
          <w:bCs/>
          <w:color w:val="auto"/>
          <w:kern w:val="0"/>
          <w:sz w:val="32"/>
          <w:szCs w:val="32"/>
          <w:lang w:eastAsia="zh-CN"/>
        </w:rPr>
        <w:t>小于</w:t>
      </w:r>
      <w:r>
        <w:rPr>
          <w:rFonts w:hint="eastAsia" w:ascii="仿宋_GB2312" w:eastAsia="仿宋_GB2312" w:cs="仿宋_GB2312"/>
          <w:bCs/>
          <w:color w:val="auto"/>
          <w:kern w:val="0"/>
          <w:sz w:val="32"/>
          <w:szCs w:val="32"/>
        </w:rPr>
        <w:t>预算数的主要原因是</w:t>
      </w:r>
      <w:r>
        <w:rPr>
          <w:rFonts w:hint="eastAsia" w:ascii="仿宋_GB2312" w:eastAsia="仿宋_GB2312" w:cs="仿宋_GB2312"/>
          <w:bCs/>
          <w:color w:val="auto"/>
          <w:kern w:val="0"/>
          <w:sz w:val="32"/>
          <w:szCs w:val="32"/>
          <w:lang w:eastAsia="zh-CN"/>
        </w:rPr>
        <w:t>地名标志牌政府采购项目，</w:t>
      </w:r>
      <w:r>
        <w:rPr>
          <w:rFonts w:hint="eastAsia" w:ascii="仿宋_GB2312" w:eastAsia="仿宋_GB2312" w:cs="仿宋_GB2312"/>
          <w:bCs/>
          <w:color w:val="auto"/>
          <w:kern w:val="0"/>
          <w:sz w:val="32"/>
          <w:szCs w:val="32"/>
        </w:rPr>
        <w:t>原预计60万的采购计划</w:t>
      </w:r>
      <w:r>
        <w:rPr>
          <w:rFonts w:hint="eastAsia" w:ascii="仿宋_GB2312" w:eastAsia="仿宋_GB2312" w:cs="仿宋_GB2312"/>
          <w:bCs/>
          <w:color w:val="auto"/>
          <w:kern w:val="0"/>
          <w:sz w:val="32"/>
          <w:szCs w:val="32"/>
          <w:lang w:eastAsia="zh-CN"/>
        </w:rPr>
        <w:t>中标商低价中标</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eastAsia="zh-CN"/>
        </w:rPr>
        <w:t>剩余</w:t>
      </w:r>
      <w:r>
        <w:rPr>
          <w:rFonts w:hint="eastAsia" w:ascii="仿宋_GB2312" w:eastAsia="仿宋_GB2312" w:cs="仿宋_GB2312"/>
          <w:bCs/>
          <w:color w:val="auto"/>
          <w:kern w:val="0"/>
          <w:sz w:val="32"/>
          <w:szCs w:val="32"/>
        </w:rPr>
        <w:t>采购款正在走招投标流程</w:t>
      </w:r>
      <w:r>
        <w:rPr>
          <w:rFonts w:hint="eastAsia" w:ascii="仿宋_GB2312" w:eastAsia="仿宋_GB2312" w:cs="仿宋_GB2312"/>
          <w:bCs/>
          <w:color w:val="auto"/>
          <w:kern w:val="0"/>
          <w:sz w:val="32"/>
          <w:szCs w:val="32"/>
          <w:lang w:eastAsia="zh-CN"/>
        </w:rPr>
        <w:t>进行二次采购</w:t>
      </w:r>
      <w:r>
        <w:rPr>
          <w:rFonts w:hint="eastAsia" w:ascii="仿宋_GB2312" w:eastAsia="仿宋_GB2312" w:cs="仿宋_GB2312"/>
          <w:bCs/>
          <w:color w:val="auto"/>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6</w:t>
      </w:r>
      <w:r>
        <w:rPr>
          <w:rFonts w:hint="eastAsia" w:ascii="仿宋_GB2312" w:eastAsia="仿宋_GB2312" w:cs="仿宋_GB2312"/>
          <w:bCs/>
          <w:color w:val="auto"/>
          <w:kern w:val="0"/>
          <w:sz w:val="32"/>
          <w:szCs w:val="32"/>
        </w:rPr>
        <w:t>. 社会保障和就业支出（类）民政管理事务（款）基层政权和社区建设（项）。年初预算为</w:t>
      </w:r>
      <w:r>
        <w:rPr>
          <w:rFonts w:hint="eastAsia" w:ascii="仿宋_GB2312" w:hAnsi="华文仿宋" w:eastAsia="仿宋_GB2312"/>
          <w:bCs/>
          <w:color w:val="auto"/>
          <w:sz w:val="32"/>
          <w:szCs w:val="32"/>
          <w:lang w:val="en-US" w:eastAsia="zh-CN"/>
        </w:rPr>
        <w:t>461.43</w:t>
      </w:r>
      <w:r>
        <w:rPr>
          <w:rFonts w:hint="eastAsia" w:ascii="仿宋_GB2312" w:eastAsia="仿宋_GB2312" w:cs="仿宋_GB2312"/>
          <w:bCs/>
          <w:color w:val="auto"/>
          <w:kern w:val="0"/>
          <w:sz w:val="32"/>
          <w:szCs w:val="32"/>
        </w:rPr>
        <w:t>万元，支出决算为459.42万元，完成年初预算的</w:t>
      </w:r>
      <w:r>
        <w:rPr>
          <w:rFonts w:hint="eastAsia" w:ascii="仿宋_GB2312" w:eastAsia="仿宋_GB2312" w:cs="仿宋_GB2312"/>
          <w:bCs/>
          <w:color w:val="auto"/>
          <w:kern w:val="0"/>
          <w:sz w:val="32"/>
          <w:szCs w:val="32"/>
          <w:lang w:val="en-US" w:eastAsia="zh-CN"/>
        </w:rPr>
        <w:t>99</w:t>
      </w:r>
      <w:r>
        <w:rPr>
          <w:rFonts w:hint="eastAsia" w:ascii="仿宋_GB2312" w:eastAsia="仿宋_GB2312" w:cs="仿宋_GB2312"/>
          <w:bCs/>
          <w:color w:val="auto"/>
          <w:kern w:val="0"/>
          <w:sz w:val="32"/>
          <w:szCs w:val="32"/>
        </w:rPr>
        <w:t>%。决算数</w:t>
      </w:r>
      <w:r>
        <w:rPr>
          <w:rFonts w:hint="eastAsia" w:ascii="仿宋_GB2312" w:eastAsia="仿宋_GB2312" w:cs="仿宋_GB2312"/>
          <w:bCs/>
          <w:color w:val="auto"/>
          <w:kern w:val="0"/>
          <w:sz w:val="32"/>
          <w:szCs w:val="32"/>
          <w:lang w:eastAsia="zh-CN"/>
        </w:rPr>
        <w:t>小于</w:t>
      </w:r>
      <w:r>
        <w:rPr>
          <w:rFonts w:hint="eastAsia" w:ascii="仿宋_GB2312" w:eastAsia="仿宋_GB2312" w:cs="仿宋_GB2312"/>
          <w:bCs/>
          <w:color w:val="auto"/>
          <w:kern w:val="0"/>
          <w:sz w:val="32"/>
          <w:szCs w:val="32"/>
        </w:rPr>
        <w:t>预算数的主要原因是基层政权和社区建设</w:t>
      </w:r>
      <w:r>
        <w:rPr>
          <w:rFonts w:hint="eastAsia" w:ascii="仿宋_GB2312" w:eastAsia="仿宋_GB2312" w:cs="仿宋_GB2312"/>
          <w:bCs/>
          <w:color w:val="auto"/>
          <w:kern w:val="0"/>
          <w:sz w:val="32"/>
          <w:szCs w:val="32"/>
          <w:lang w:eastAsia="zh-CN"/>
        </w:rPr>
        <w:t>办公经费厉行节约、经费略有结余</w:t>
      </w:r>
      <w:r>
        <w:rPr>
          <w:rFonts w:hint="eastAsia" w:ascii="仿宋_GB2312" w:eastAsia="仿宋_GB2312" w:cs="仿宋_GB2312"/>
          <w:bCs/>
          <w:color w:val="auto"/>
          <w:kern w:val="0"/>
          <w:sz w:val="32"/>
          <w:szCs w:val="32"/>
        </w:rPr>
        <w:t>。 </w:t>
      </w:r>
    </w:p>
    <w:p>
      <w:pPr>
        <w:autoSpaceDE w:val="0"/>
        <w:autoSpaceDN w:val="0"/>
        <w:adjustRightInd w:val="0"/>
        <w:spacing w:line="560" w:lineRule="exact"/>
        <w:ind w:firstLine="640" w:firstLineChars="200"/>
        <w:jc w:val="left"/>
        <w:rPr>
          <w:rFonts w:ascii="仿宋_GB2312" w:eastAsia="仿宋_GB2312" w:cs="仿宋_GB2312"/>
          <w:bCs/>
          <w:color w:val="FF0000"/>
          <w:kern w:val="0"/>
          <w:sz w:val="32"/>
          <w:szCs w:val="32"/>
        </w:rPr>
      </w:pPr>
      <w:r>
        <w:rPr>
          <w:rFonts w:hint="eastAsia" w:ascii="仿宋_GB2312" w:eastAsia="仿宋_GB2312" w:cs="仿宋_GB2312"/>
          <w:bCs/>
          <w:color w:val="auto"/>
          <w:kern w:val="0"/>
          <w:sz w:val="32"/>
          <w:szCs w:val="32"/>
          <w:lang w:val="en-US" w:eastAsia="zh-CN"/>
        </w:rPr>
        <w:t>7</w:t>
      </w:r>
      <w:r>
        <w:rPr>
          <w:rFonts w:hint="eastAsia" w:ascii="仿宋_GB2312" w:eastAsia="仿宋_GB2312" w:cs="仿宋_GB2312"/>
          <w:bCs/>
          <w:color w:val="auto"/>
          <w:kern w:val="0"/>
          <w:sz w:val="32"/>
          <w:szCs w:val="32"/>
        </w:rPr>
        <w:t>. 社会保障和就业支出（类）民政管理事务（款）其他民政管理事务支出（项）。年初预算为</w:t>
      </w:r>
      <w:r>
        <w:rPr>
          <w:rFonts w:hint="eastAsia" w:ascii="仿宋_GB2312" w:hAnsi="华文仿宋" w:eastAsia="仿宋_GB2312"/>
          <w:bCs/>
          <w:color w:val="auto"/>
          <w:sz w:val="32"/>
          <w:szCs w:val="32"/>
          <w:lang w:val="en-US" w:eastAsia="zh-CN"/>
        </w:rPr>
        <w:t>349.72</w:t>
      </w:r>
      <w:r>
        <w:rPr>
          <w:rFonts w:hint="eastAsia" w:ascii="仿宋_GB2312" w:eastAsia="仿宋_GB2312" w:cs="仿宋_GB2312"/>
          <w:bCs/>
          <w:color w:val="auto"/>
          <w:kern w:val="0"/>
          <w:sz w:val="32"/>
          <w:szCs w:val="32"/>
        </w:rPr>
        <w:t>万元，支出决算为410.58万元，完成年初预算的1</w:t>
      </w:r>
      <w:r>
        <w:rPr>
          <w:rFonts w:hint="eastAsia" w:ascii="仿宋_GB2312" w:eastAsia="仿宋_GB2312" w:cs="仿宋_GB2312"/>
          <w:bCs/>
          <w:color w:val="auto"/>
          <w:kern w:val="0"/>
          <w:sz w:val="32"/>
          <w:szCs w:val="32"/>
          <w:lang w:val="en-US" w:eastAsia="zh-CN"/>
        </w:rPr>
        <w:t>17</w:t>
      </w:r>
      <w:r>
        <w:rPr>
          <w:rFonts w:hint="eastAsia" w:ascii="仿宋_GB2312" w:eastAsia="仿宋_GB2312" w:cs="仿宋_GB2312"/>
          <w:bCs/>
          <w:color w:val="auto"/>
          <w:kern w:val="0"/>
          <w:sz w:val="32"/>
          <w:szCs w:val="32"/>
        </w:rPr>
        <w:t xml:space="preserve">%。决算数大于预算数的主要原因是财政拨付绩效考评经费补差等。 </w:t>
      </w:r>
      <w:r>
        <w:rPr>
          <w:rFonts w:hint="eastAsia" w:ascii="仿宋_GB2312" w:eastAsia="仿宋_GB2312" w:cs="仿宋_GB2312"/>
          <w:bCs/>
          <w:color w:val="FF0000"/>
          <w:kern w:val="0"/>
          <w:sz w:val="32"/>
          <w:szCs w:val="32"/>
        </w:rPr>
        <w:t xml:space="preserve"> </w:t>
      </w:r>
    </w:p>
    <w:p>
      <w:pPr>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8</w:t>
      </w:r>
      <w:r>
        <w:rPr>
          <w:rFonts w:hint="eastAsia" w:ascii="仿宋_GB2312" w:eastAsia="仿宋_GB2312" w:cs="仿宋_GB2312"/>
          <w:bCs/>
          <w:color w:val="auto"/>
          <w:kern w:val="0"/>
          <w:sz w:val="32"/>
          <w:szCs w:val="32"/>
        </w:rPr>
        <w:t>. 社会保障和就业支出（类）行政事业单位离退休（款）归口管理的行政单位离退休（项）。年初预算为</w:t>
      </w:r>
      <w:r>
        <w:rPr>
          <w:rFonts w:hint="eastAsia" w:ascii="仿宋_GB2312" w:hAnsi="华文仿宋" w:eastAsia="仿宋_GB2312"/>
          <w:bCs/>
          <w:color w:val="auto"/>
          <w:sz w:val="32"/>
          <w:szCs w:val="32"/>
          <w:lang w:val="en-US" w:eastAsia="zh-CN"/>
        </w:rPr>
        <w:t>172.20</w:t>
      </w:r>
      <w:r>
        <w:rPr>
          <w:rFonts w:hint="eastAsia" w:ascii="仿宋_GB2312" w:eastAsia="仿宋_GB2312" w:cs="仿宋_GB2312"/>
          <w:bCs/>
          <w:color w:val="auto"/>
          <w:kern w:val="0"/>
          <w:sz w:val="32"/>
          <w:szCs w:val="32"/>
        </w:rPr>
        <w:t>万元，支出决算为216.37万元，完成年初预算的</w:t>
      </w:r>
      <w:r>
        <w:rPr>
          <w:rFonts w:hint="eastAsia" w:ascii="仿宋_GB2312" w:eastAsia="仿宋_GB2312" w:cs="仿宋_GB2312"/>
          <w:bCs/>
          <w:color w:val="auto"/>
          <w:kern w:val="0"/>
          <w:sz w:val="32"/>
          <w:szCs w:val="32"/>
          <w:lang w:val="en-US" w:eastAsia="zh-CN"/>
        </w:rPr>
        <w:t>126</w:t>
      </w:r>
      <w:r>
        <w:rPr>
          <w:rFonts w:hint="eastAsia" w:ascii="仿宋_GB2312" w:eastAsia="仿宋_GB2312" w:cs="仿宋_GB2312"/>
          <w:bCs/>
          <w:color w:val="auto"/>
          <w:kern w:val="0"/>
          <w:sz w:val="32"/>
          <w:szCs w:val="32"/>
        </w:rPr>
        <w:t>%。决算数大于预算数的主要原因是市财政拨款用于离退休人员生活补助以及离休费。</w:t>
      </w:r>
    </w:p>
    <w:p>
      <w:pPr>
        <w:ind w:firstLine="640" w:firstLineChars="200"/>
        <w:rPr>
          <w:rFonts w:ascii="仿宋" w:hAnsi="仿宋" w:eastAsia="仿宋" w:cs="仿宋"/>
          <w:color w:val="auto"/>
          <w:sz w:val="30"/>
          <w:szCs w:val="30"/>
        </w:rPr>
      </w:pPr>
      <w:r>
        <w:rPr>
          <w:rFonts w:hint="eastAsia" w:ascii="仿宋_GB2312" w:eastAsia="仿宋_GB2312" w:cs="仿宋_GB2312"/>
          <w:bCs/>
          <w:color w:val="auto"/>
          <w:kern w:val="0"/>
          <w:sz w:val="32"/>
          <w:szCs w:val="32"/>
          <w:lang w:val="en-US" w:eastAsia="zh-CN"/>
        </w:rPr>
        <w:t>9</w:t>
      </w:r>
      <w:r>
        <w:rPr>
          <w:rFonts w:hint="eastAsia" w:ascii="仿宋_GB2312" w:eastAsia="仿宋_GB2312" w:cs="仿宋_GB2312"/>
          <w:bCs/>
          <w:color w:val="auto"/>
          <w:kern w:val="0"/>
          <w:sz w:val="32"/>
          <w:szCs w:val="32"/>
        </w:rPr>
        <w:t>. 社会保障和就业支出（类）行政事业单位离退休（款）事业单位离退休（项）。年初预算为</w:t>
      </w:r>
      <w:r>
        <w:rPr>
          <w:rFonts w:hint="eastAsia" w:ascii="仿宋_GB2312" w:hAnsi="华文仿宋" w:eastAsia="仿宋_GB2312"/>
          <w:bCs/>
          <w:color w:val="auto"/>
          <w:sz w:val="32"/>
          <w:szCs w:val="32"/>
          <w:lang w:val="en-US" w:eastAsia="zh-CN"/>
        </w:rPr>
        <w:t>102.88</w:t>
      </w:r>
      <w:r>
        <w:rPr>
          <w:rFonts w:hint="eastAsia" w:ascii="仿宋_GB2312" w:eastAsia="仿宋_GB2312" w:cs="仿宋_GB2312"/>
          <w:bCs/>
          <w:color w:val="auto"/>
          <w:kern w:val="0"/>
          <w:sz w:val="32"/>
          <w:szCs w:val="32"/>
        </w:rPr>
        <w:t>万元，支出决算为115.56万元，完成年初预算的</w:t>
      </w:r>
      <w:r>
        <w:rPr>
          <w:rFonts w:hint="eastAsia" w:ascii="仿宋_GB2312" w:eastAsia="仿宋_GB2312" w:cs="仿宋_GB2312"/>
          <w:bCs/>
          <w:color w:val="auto"/>
          <w:kern w:val="0"/>
          <w:sz w:val="32"/>
          <w:szCs w:val="32"/>
          <w:lang w:val="en-US" w:eastAsia="zh-CN"/>
        </w:rPr>
        <w:t>112</w:t>
      </w:r>
      <w:r>
        <w:rPr>
          <w:rFonts w:hint="eastAsia" w:ascii="仿宋_GB2312" w:eastAsia="仿宋_GB2312" w:cs="仿宋_GB2312"/>
          <w:bCs/>
          <w:color w:val="auto"/>
          <w:kern w:val="0"/>
          <w:sz w:val="32"/>
          <w:szCs w:val="32"/>
        </w:rPr>
        <w:t>%。决算数大于预算数的主要原因是</w:t>
      </w:r>
      <w:r>
        <w:rPr>
          <w:rFonts w:hint="eastAsia" w:ascii="仿宋_GB2312" w:eastAsia="仿宋_GB2312" w:cs="仿宋_GB2312"/>
          <w:bCs/>
          <w:color w:val="auto"/>
          <w:kern w:val="0"/>
          <w:sz w:val="32"/>
          <w:szCs w:val="32"/>
          <w:lang w:eastAsia="zh-CN"/>
        </w:rPr>
        <w:t>财政补助事业单位</w:t>
      </w:r>
      <w:r>
        <w:rPr>
          <w:rFonts w:hint="eastAsia" w:ascii="仿宋_GB2312" w:eastAsia="仿宋_GB2312" w:cs="仿宋_GB2312"/>
          <w:bCs/>
          <w:color w:val="auto"/>
          <w:kern w:val="0"/>
          <w:sz w:val="32"/>
          <w:szCs w:val="32"/>
        </w:rPr>
        <w:t>支付离退休生活补助款、退休春节慰问金、退休物业补贴款等。</w:t>
      </w:r>
    </w:p>
    <w:p>
      <w:pPr>
        <w:ind w:firstLine="640" w:firstLineChars="200"/>
        <w:jc w:val="left"/>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rPr>
        <w:t>1</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 社会保障和就业支出（类）行政事业单位离退休（款）机关事业单位基本养老保险缴费支出（项）。年初预算为</w:t>
      </w:r>
      <w:r>
        <w:rPr>
          <w:rFonts w:hint="eastAsia" w:ascii="仿宋_GB2312" w:hAnsi="华文仿宋" w:eastAsia="仿宋_GB2312"/>
          <w:bCs/>
          <w:color w:val="auto"/>
          <w:sz w:val="32"/>
          <w:szCs w:val="32"/>
        </w:rPr>
        <w:t>6</w:t>
      </w:r>
      <w:r>
        <w:rPr>
          <w:rFonts w:hint="eastAsia" w:ascii="仿宋_GB2312" w:hAnsi="华文仿宋" w:eastAsia="仿宋_GB2312"/>
          <w:bCs/>
          <w:color w:val="auto"/>
          <w:sz w:val="32"/>
          <w:szCs w:val="32"/>
          <w:lang w:val="en-US" w:eastAsia="zh-CN"/>
        </w:rPr>
        <w:t>43.10</w:t>
      </w:r>
      <w:r>
        <w:rPr>
          <w:rFonts w:hint="eastAsia" w:ascii="仿宋_GB2312" w:eastAsia="仿宋_GB2312" w:cs="仿宋_GB2312"/>
          <w:bCs/>
          <w:color w:val="auto"/>
          <w:kern w:val="0"/>
          <w:sz w:val="32"/>
          <w:szCs w:val="32"/>
        </w:rPr>
        <w:t>万元，支出决算为527.20万元，完成年初预算的</w:t>
      </w:r>
      <w:r>
        <w:rPr>
          <w:rFonts w:hint="eastAsia" w:ascii="仿宋_GB2312" w:eastAsia="仿宋_GB2312" w:cs="仿宋_GB2312"/>
          <w:bCs/>
          <w:color w:val="auto"/>
          <w:kern w:val="0"/>
          <w:sz w:val="32"/>
          <w:szCs w:val="32"/>
          <w:lang w:val="en-US" w:eastAsia="zh-CN"/>
        </w:rPr>
        <w:t>82</w:t>
      </w:r>
      <w:r>
        <w:rPr>
          <w:rFonts w:hint="eastAsia" w:ascii="仿宋_GB2312" w:eastAsia="仿宋_GB2312" w:cs="仿宋_GB2312"/>
          <w:bCs/>
          <w:color w:val="auto"/>
          <w:kern w:val="0"/>
          <w:sz w:val="32"/>
          <w:szCs w:val="32"/>
        </w:rPr>
        <w:t>%。决算数小于预算数的主要原因是柳州市民政局人员</w:t>
      </w:r>
      <w:r>
        <w:rPr>
          <w:rFonts w:hint="eastAsia" w:ascii="仿宋_GB2312" w:eastAsia="仿宋_GB2312" w:cs="仿宋_GB2312"/>
          <w:bCs/>
          <w:color w:val="auto"/>
          <w:kern w:val="0"/>
          <w:sz w:val="32"/>
          <w:szCs w:val="32"/>
          <w:lang w:eastAsia="zh-CN"/>
        </w:rPr>
        <w:t>机构改革、人员划转，</w:t>
      </w:r>
      <w:r>
        <w:rPr>
          <w:rFonts w:hint="eastAsia" w:ascii="仿宋_GB2312" w:eastAsia="仿宋_GB2312" w:cs="仿宋_GB2312"/>
          <w:bCs/>
          <w:color w:val="auto"/>
          <w:kern w:val="0"/>
          <w:sz w:val="32"/>
          <w:szCs w:val="32"/>
        </w:rPr>
        <w:t>调离民政局职工</w:t>
      </w:r>
      <w:r>
        <w:rPr>
          <w:rFonts w:hint="eastAsia" w:ascii="仿宋_GB2312" w:eastAsia="仿宋_GB2312" w:cs="仿宋_GB2312"/>
          <w:bCs/>
          <w:color w:val="auto"/>
          <w:kern w:val="0"/>
          <w:sz w:val="32"/>
          <w:szCs w:val="32"/>
          <w:lang w:val="en-US" w:eastAsia="zh-CN"/>
        </w:rPr>
        <w:t>10人</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eastAsia="zh-CN"/>
        </w:rPr>
        <w:t>调入职工</w:t>
      </w:r>
      <w:r>
        <w:rPr>
          <w:rFonts w:hint="eastAsia" w:ascii="仿宋_GB2312" w:eastAsia="仿宋_GB2312" w:cs="仿宋_GB2312"/>
          <w:bCs/>
          <w:color w:val="auto"/>
          <w:kern w:val="0"/>
          <w:sz w:val="32"/>
          <w:szCs w:val="32"/>
          <w:lang w:val="en-US" w:eastAsia="zh-CN"/>
        </w:rPr>
        <w:t>5人</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rPr>
        <w:t>基本养老保险缴费支出减少</w:t>
      </w:r>
      <w:r>
        <w:rPr>
          <w:rFonts w:hint="eastAsia" w:ascii="仿宋_GB2312" w:eastAsia="仿宋_GB2312" w:cs="仿宋_GB2312"/>
          <w:bCs/>
          <w:color w:val="auto"/>
          <w:kern w:val="0"/>
          <w:sz w:val="32"/>
          <w:szCs w:val="32"/>
          <w:lang w:eastAsia="zh-CN"/>
        </w:rPr>
        <w:t>，儿童福利院、社会福利院等单位有退休、调离、辞职人员，支出减少。</w:t>
      </w:r>
    </w:p>
    <w:p>
      <w:pPr>
        <w:autoSpaceDE w:val="0"/>
        <w:autoSpaceDN w:val="0"/>
        <w:adjustRightInd w:val="0"/>
        <w:spacing w:line="560" w:lineRule="exact"/>
        <w:ind w:firstLine="640" w:firstLineChars="200"/>
        <w:jc w:val="left"/>
        <w:rPr>
          <w:rFonts w:hint="eastAsia" w:ascii="仿宋_GB2312" w:eastAsia="仿宋_GB2312" w:cs="仿宋_GB2312"/>
          <w:bCs/>
          <w:color w:val="FF0000"/>
          <w:kern w:val="0"/>
          <w:sz w:val="32"/>
          <w:szCs w:val="32"/>
          <w:lang w:eastAsia="zh-CN"/>
        </w:rPr>
      </w:pPr>
      <w:r>
        <w:rPr>
          <w:rFonts w:hint="eastAsia" w:ascii="仿宋_GB2312" w:eastAsia="仿宋_GB2312" w:cs="仿宋_GB2312"/>
          <w:bCs/>
          <w:color w:val="auto"/>
          <w:kern w:val="0"/>
          <w:sz w:val="32"/>
          <w:szCs w:val="32"/>
          <w:lang w:val="en-US" w:eastAsia="zh-CN"/>
        </w:rPr>
        <w:t>11</w:t>
      </w:r>
      <w:r>
        <w:rPr>
          <w:rFonts w:hint="eastAsia" w:ascii="仿宋_GB2312" w:eastAsia="仿宋_GB2312" w:cs="仿宋_GB2312"/>
          <w:bCs/>
          <w:color w:val="auto"/>
          <w:kern w:val="0"/>
          <w:sz w:val="32"/>
          <w:szCs w:val="32"/>
        </w:rPr>
        <w:t>. 社会保障和就业支出（类）行政事业单位离退休（款）机关事业单位职业年金缴费支出（项）。年初预算为</w:t>
      </w:r>
      <w:r>
        <w:rPr>
          <w:rFonts w:hint="eastAsia" w:ascii="仿宋_GB2312" w:hAnsi="华文仿宋" w:eastAsia="仿宋_GB2312"/>
          <w:bCs/>
          <w:color w:val="auto"/>
          <w:sz w:val="32"/>
          <w:szCs w:val="32"/>
          <w:lang w:val="en-US" w:eastAsia="zh-CN"/>
        </w:rPr>
        <w:t>16.67</w:t>
      </w:r>
      <w:r>
        <w:rPr>
          <w:rFonts w:hint="eastAsia" w:ascii="仿宋_GB2312" w:eastAsia="仿宋_GB2312" w:cs="仿宋_GB2312"/>
          <w:bCs/>
          <w:color w:val="auto"/>
          <w:kern w:val="0"/>
          <w:sz w:val="32"/>
          <w:szCs w:val="32"/>
        </w:rPr>
        <w:t>万元，支出决算为18.28万元，完成年初预算约1</w:t>
      </w:r>
      <w:r>
        <w:rPr>
          <w:rFonts w:hint="eastAsia" w:ascii="仿宋_GB2312" w:eastAsia="仿宋_GB2312" w:cs="仿宋_GB2312"/>
          <w:bCs/>
          <w:color w:val="auto"/>
          <w:kern w:val="0"/>
          <w:sz w:val="32"/>
          <w:szCs w:val="32"/>
          <w:lang w:val="en-US" w:eastAsia="zh-CN"/>
        </w:rPr>
        <w:t>10</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rPr>
        <w:t>决算数大于预算数的主要原因是</w:t>
      </w:r>
      <w:r>
        <w:rPr>
          <w:rFonts w:hint="eastAsia" w:ascii="仿宋_GB2312" w:eastAsia="仿宋_GB2312" w:cs="仿宋_GB2312"/>
          <w:bCs/>
          <w:color w:val="auto"/>
          <w:kern w:val="0"/>
          <w:sz w:val="32"/>
          <w:szCs w:val="32"/>
          <w:lang w:eastAsia="zh-CN"/>
        </w:rPr>
        <w:t>柳州市殡葬管理处</w:t>
      </w:r>
      <w:r>
        <w:rPr>
          <w:rFonts w:hint="eastAsia" w:ascii="仿宋_GB2312" w:eastAsia="仿宋_GB2312" w:cs="仿宋_GB2312"/>
          <w:bCs/>
          <w:color w:val="auto"/>
          <w:kern w:val="0"/>
          <w:sz w:val="32"/>
          <w:szCs w:val="32"/>
        </w:rPr>
        <w:t>新增人员2人</w:t>
      </w:r>
      <w:r>
        <w:rPr>
          <w:rFonts w:hint="eastAsia" w:ascii="仿宋_GB2312" w:eastAsia="仿宋_GB2312" w:cs="仿宋_GB2312"/>
          <w:bCs/>
          <w:color w:val="auto"/>
          <w:kern w:val="0"/>
          <w:sz w:val="32"/>
          <w:szCs w:val="32"/>
          <w:lang w:eastAsia="zh-CN"/>
        </w:rPr>
        <w:t>，职业年金缴费相应增加</w:t>
      </w:r>
      <w:r>
        <w:rPr>
          <w:rFonts w:hint="eastAsia" w:ascii="仿宋_GB2312" w:eastAsia="仿宋_GB2312" w:cs="仿宋_GB2312"/>
          <w:bCs/>
          <w:color w:val="auto"/>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1</w:t>
      </w:r>
      <w:r>
        <w:rPr>
          <w:rFonts w:hint="eastAsia" w:ascii="仿宋_GB2312" w:eastAsia="仿宋_GB2312" w:cs="仿宋_GB2312"/>
          <w:bCs/>
          <w:color w:val="auto"/>
          <w:kern w:val="0"/>
          <w:sz w:val="32"/>
          <w:szCs w:val="32"/>
          <w:lang w:val="en-US" w:eastAsia="zh-CN"/>
        </w:rPr>
        <w:t>2</w:t>
      </w:r>
      <w:r>
        <w:rPr>
          <w:rFonts w:hint="eastAsia" w:ascii="仿宋_GB2312" w:eastAsia="仿宋_GB2312" w:cs="仿宋_GB2312"/>
          <w:bCs/>
          <w:color w:val="auto"/>
          <w:kern w:val="0"/>
          <w:sz w:val="32"/>
          <w:szCs w:val="32"/>
        </w:rPr>
        <w:t>. 社会保障和就业支出（类）抚恤（款）死亡抚恤（项）。年初预算为</w:t>
      </w:r>
      <w:r>
        <w:rPr>
          <w:rFonts w:hint="eastAsia" w:ascii="仿宋_GB2312" w:hAnsi="华文仿宋" w:eastAsia="仿宋_GB2312"/>
          <w:bCs/>
          <w:color w:val="auto"/>
          <w:sz w:val="32"/>
          <w:szCs w:val="32"/>
        </w:rPr>
        <w:t>100</w:t>
      </w:r>
      <w:r>
        <w:rPr>
          <w:rFonts w:hint="eastAsia" w:ascii="仿宋_GB2312" w:eastAsia="仿宋_GB2312" w:cs="仿宋_GB2312"/>
          <w:bCs/>
          <w:color w:val="auto"/>
          <w:kern w:val="0"/>
          <w:sz w:val="32"/>
          <w:szCs w:val="32"/>
        </w:rPr>
        <w:t>万元，支出决算为4.04万元，完成年初预算的</w:t>
      </w:r>
      <w:r>
        <w:rPr>
          <w:rFonts w:hint="eastAsia" w:ascii="仿宋_GB2312" w:eastAsia="仿宋_GB2312" w:cs="仿宋_GB2312"/>
          <w:bCs/>
          <w:color w:val="auto"/>
          <w:kern w:val="0"/>
          <w:sz w:val="32"/>
          <w:szCs w:val="32"/>
          <w:lang w:val="en-US" w:eastAsia="zh-CN"/>
        </w:rPr>
        <w:t>4</w:t>
      </w:r>
      <w:r>
        <w:rPr>
          <w:rFonts w:hint="eastAsia" w:ascii="仿宋_GB2312" w:eastAsia="仿宋_GB2312" w:cs="仿宋_GB2312"/>
          <w:bCs/>
          <w:color w:val="auto"/>
          <w:kern w:val="0"/>
          <w:sz w:val="32"/>
          <w:szCs w:val="32"/>
        </w:rPr>
        <w:t>%。决算数小于预算数的主要原因是</w:t>
      </w:r>
      <w:r>
        <w:rPr>
          <w:rFonts w:hint="eastAsia" w:ascii="仿宋_GB2312" w:eastAsia="仿宋_GB2312" w:cs="仿宋_GB2312"/>
          <w:bCs/>
          <w:color w:val="auto"/>
          <w:kern w:val="0"/>
          <w:sz w:val="32"/>
          <w:szCs w:val="32"/>
          <w:lang w:eastAsia="zh-CN"/>
        </w:rPr>
        <w:t>机构改革，职能划转，指标也相应划转至退役军人事务局</w:t>
      </w:r>
      <w:r>
        <w:rPr>
          <w:rFonts w:hint="eastAsia" w:ascii="仿宋_GB2312" w:eastAsia="仿宋_GB2312" w:cs="仿宋_GB2312"/>
          <w:bCs/>
          <w:color w:val="auto"/>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1</w:t>
      </w:r>
      <w:r>
        <w:rPr>
          <w:rFonts w:hint="eastAsia" w:ascii="仿宋_GB2312" w:eastAsia="仿宋_GB2312" w:cs="仿宋_GB2312"/>
          <w:bCs/>
          <w:color w:val="auto"/>
          <w:kern w:val="0"/>
          <w:sz w:val="32"/>
          <w:szCs w:val="32"/>
          <w:lang w:val="en-US" w:eastAsia="zh-CN"/>
        </w:rPr>
        <w:t>3</w:t>
      </w:r>
      <w:r>
        <w:rPr>
          <w:rFonts w:hint="eastAsia" w:ascii="仿宋_GB2312" w:eastAsia="仿宋_GB2312" w:cs="仿宋_GB2312"/>
          <w:bCs/>
          <w:color w:val="auto"/>
          <w:kern w:val="0"/>
          <w:sz w:val="32"/>
          <w:szCs w:val="32"/>
        </w:rPr>
        <w:t>. 社会保障和就业支出（类）抚恤（款）伤残抚恤（项）。年初预算为16.20万元，支出决算为16.20万元，完成年初预算的100%。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color w:val="FF0000"/>
          <w:kern w:val="0"/>
          <w:sz w:val="32"/>
          <w:szCs w:val="32"/>
        </w:rPr>
      </w:pPr>
      <w:r>
        <w:rPr>
          <w:rFonts w:hint="eastAsia" w:ascii="仿宋_GB2312" w:eastAsia="仿宋_GB2312" w:cs="仿宋_GB2312"/>
          <w:bCs/>
          <w:color w:val="auto"/>
          <w:kern w:val="0"/>
          <w:sz w:val="32"/>
          <w:szCs w:val="32"/>
        </w:rPr>
        <w:t>1</w:t>
      </w:r>
      <w:r>
        <w:rPr>
          <w:rFonts w:hint="eastAsia" w:ascii="仿宋_GB2312" w:eastAsia="仿宋_GB2312" w:cs="仿宋_GB2312"/>
          <w:bCs/>
          <w:color w:val="auto"/>
          <w:kern w:val="0"/>
          <w:sz w:val="32"/>
          <w:szCs w:val="32"/>
          <w:lang w:val="en-US" w:eastAsia="zh-CN"/>
        </w:rPr>
        <w:t>4</w:t>
      </w:r>
      <w:r>
        <w:rPr>
          <w:rFonts w:hint="eastAsia" w:ascii="仿宋_GB2312" w:eastAsia="仿宋_GB2312" w:cs="仿宋_GB2312"/>
          <w:bCs/>
          <w:color w:val="auto"/>
          <w:kern w:val="0"/>
          <w:sz w:val="32"/>
          <w:szCs w:val="32"/>
        </w:rPr>
        <w:t>. 社会保障和就业支出（类）抚恤（款）优抚事业单位支出（项）。年初预算为0万元，支出决算为78.06万元。决算数大于预算数的主要原因是柳州市军用供应站201</w:t>
      </w:r>
      <w:r>
        <w:rPr>
          <w:rFonts w:hint="eastAsia" w:ascii="仿宋_GB2312" w:eastAsia="仿宋_GB2312" w:cs="仿宋_GB2312"/>
          <w:bCs/>
          <w:color w:val="auto"/>
          <w:kern w:val="0"/>
          <w:sz w:val="32"/>
          <w:szCs w:val="32"/>
          <w:lang w:val="en-US" w:eastAsia="zh-CN"/>
        </w:rPr>
        <w:t>9</w:t>
      </w:r>
      <w:r>
        <w:rPr>
          <w:rFonts w:hint="eastAsia" w:ascii="仿宋_GB2312" w:eastAsia="仿宋_GB2312" w:cs="仿宋_GB2312"/>
          <w:bCs/>
          <w:color w:val="auto"/>
          <w:kern w:val="0"/>
          <w:sz w:val="32"/>
          <w:szCs w:val="32"/>
        </w:rPr>
        <w:t>年中央、自治区下达转移支付指标用于支付军供厨房设备采购。</w:t>
      </w:r>
    </w:p>
    <w:p>
      <w:pPr>
        <w:autoSpaceDE w:val="0"/>
        <w:autoSpaceDN w:val="0"/>
        <w:adjustRightInd w:val="0"/>
        <w:spacing w:line="56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1</w:t>
      </w:r>
      <w:r>
        <w:rPr>
          <w:rFonts w:hint="eastAsia" w:ascii="仿宋_GB2312" w:eastAsia="仿宋_GB2312" w:cs="仿宋_GB2312"/>
          <w:bCs/>
          <w:color w:val="auto"/>
          <w:kern w:val="0"/>
          <w:sz w:val="32"/>
          <w:szCs w:val="32"/>
          <w:lang w:val="en-US" w:eastAsia="zh-CN"/>
        </w:rPr>
        <w:t>5</w:t>
      </w:r>
      <w:r>
        <w:rPr>
          <w:rFonts w:hint="eastAsia" w:ascii="仿宋_GB2312" w:eastAsia="仿宋_GB2312" w:cs="仿宋_GB2312"/>
          <w:bCs/>
          <w:color w:val="auto"/>
          <w:kern w:val="0"/>
          <w:sz w:val="32"/>
          <w:szCs w:val="32"/>
        </w:rPr>
        <w:t>. 社会保障和就业支出（类）退役安置（款）退役士兵安置（项）。年初预算为</w:t>
      </w:r>
      <w:r>
        <w:rPr>
          <w:rFonts w:hint="eastAsia" w:ascii="仿宋_GB2312" w:hAnsi="华文仿宋" w:eastAsia="仿宋_GB2312"/>
          <w:bCs/>
          <w:color w:val="auto"/>
          <w:sz w:val="32"/>
          <w:szCs w:val="32"/>
          <w:lang w:val="en-US" w:eastAsia="zh-CN"/>
        </w:rPr>
        <w:t>407.8</w:t>
      </w:r>
      <w:r>
        <w:rPr>
          <w:rFonts w:hint="eastAsia" w:ascii="仿宋_GB2312" w:eastAsia="仿宋_GB2312" w:cs="仿宋_GB2312"/>
          <w:bCs/>
          <w:color w:val="auto"/>
          <w:kern w:val="0"/>
          <w:sz w:val="32"/>
          <w:szCs w:val="32"/>
        </w:rPr>
        <w:t>万元，支出决算为424.45</w:t>
      </w:r>
      <w:r>
        <w:rPr>
          <w:rFonts w:hint="eastAsia" w:ascii="仿宋_GB2312" w:eastAsia="仿宋_GB2312" w:cs="仿宋_GB2312"/>
          <w:bCs/>
          <w:color w:val="auto"/>
          <w:kern w:val="0"/>
          <w:sz w:val="32"/>
          <w:szCs w:val="32"/>
          <w:lang w:eastAsia="zh-CN"/>
        </w:rPr>
        <w:t>万元</w:t>
      </w:r>
      <w:r>
        <w:rPr>
          <w:rFonts w:hint="eastAsia" w:ascii="仿宋_GB2312" w:eastAsia="仿宋_GB2312" w:cs="仿宋_GB2312"/>
          <w:bCs/>
          <w:color w:val="auto"/>
          <w:kern w:val="0"/>
          <w:sz w:val="32"/>
          <w:szCs w:val="32"/>
        </w:rPr>
        <w:t>，完成年初预算的1</w:t>
      </w:r>
      <w:r>
        <w:rPr>
          <w:rFonts w:hint="eastAsia" w:ascii="仿宋_GB2312" w:eastAsia="仿宋_GB2312" w:cs="仿宋_GB2312"/>
          <w:bCs/>
          <w:color w:val="auto"/>
          <w:kern w:val="0"/>
          <w:sz w:val="32"/>
          <w:szCs w:val="32"/>
          <w:lang w:val="en-US" w:eastAsia="zh-CN"/>
        </w:rPr>
        <w:t>04</w:t>
      </w:r>
      <w:r>
        <w:rPr>
          <w:rFonts w:hint="eastAsia" w:ascii="仿宋_GB2312" w:eastAsia="仿宋_GB2312" w:cs="仿宋_GB2312"/>
          <w:bCs/>
          <w:color w:val="auto"/>
          <w:kern w:val="0"/>
          <w:sz w:val="32"/>
          <w:szCs w:val="32"/>
        </w:rPr>
        <w:t>%。决算数大于预算数的主要原因是动用上年结转结余款项用于退役士兵安置费用。</w:t>
      </w:r>
    </w:p>
    <w:p>
      <w:pPr>
        <w:autoSpaceDE w:val="0"/>
        <w:autoSpaceDN w:val="0"/>
        <w:adjustRightInd w:val="0"/>
        <w:spacing w:line="56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1</w:t>
      </w:r>
      <w:r>
        <w:rPr>
          <w:rFonts w:hint="eastAsia" w:ascii="仿宋_GB2312" w:eastAsia="仿宋_GB2312" w:cs="仿宋_GB2312"/>
          <w:bCs/>
          <w:color w:val="auto"/>
          <w:kern w:val="0"/>
          <w:sz w:val="32"/>
          <w:szCs w:val="32"/>
          <w:lang w:val="en-US" w:eastAsia="zh-CN"/>
        </w:rPr>
        <w:t>6</w:t>
      </w:r>
      <w:r>
        <w:rPr>
          <w:rFonts w:hint="eastAsia" w:ascii="仿宋_GB2312" w:eastAsia="仿宋_GB2312" w:cs="仿宋_GB2312"/>
          <w:bCs/>
          <w:color w:val="auto"/>
          <w:kern w:val="0"/>
          <w:sz w:val="32"/>
          <w:szCs w:val="32"/>
        </w:rPr>
        <w:t>. 社会保障和就业支出（类）退役安置（款）军队移交政府的离退休人员安置（项）。年初预算为</w:t>
      </w:r>
      <w:r>
        <w:rPr>
          <w:rFonts w:hint="eastAsia" w:ascii="仿宋_GB2312" w:hAnsi="华文仿宋" w:eastAsia="仿宋_GB2312"/>
          <w:bCs/>
          <w:color w:val="auto"/>
          <w:sz w:val="32"/>
          <w:szCs w:val="32"/>
          <w:lang w:val="en-US" w:eastAsia="zh-CN"/>
        </w:rPr>
        <w:t>407.8</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866.57</w:t>
      </w:r>
      <w:r>
        <w:rPr>
          <w:rFonts w:hint="eastAsia" w:ascii="仿宋_GB2312" w:eastAsia="仿宋_GB2312" w:cs="仿宋_GB2312"/>
          <w:bCs/>
          <w:color w:val="auto"/>
          <w:kern w:val="0"/>
          <w:sz w:val="32"/>
          <w:szCs w:val="32"/>
          <w:lang w:eastAsia="zh-CN"/>
        </w:rPr>
        <w:t>万元</w:t>
      </w:r>
      <w:r>
        <w:rPr>
          <w:rFonts w:hint="eastAsia" w:ascii="仿宋_GB2312" w:eastAsia="仿宋_GB2312" w:cs="仿宋_GB2312"/>
          <w:bCs/>
          <w:color w:val="auto"/>
          <w:kern w:val="0"/>
          <w:sz w:val="32"/>
          <w:szCs w:val="32"/>
        </w:rPr>
        <w:t>，完成年初预算的</w:t>
      </w:r>
      <w:r>
        <w:rPr>
          <w:rFonts w:hint="eastAsia" w:ascii="仿宋_GB2312" w:eastAsia="仿宋_GB2312" w:cs="仿宋_GB2312"/>
          <w:bCs/>
          <w:color w:val="auto"/>
          <w:kern w:val="0"/>
          <w:sz w:val="32"/>
          <w:szCs w:val="32"/>
          <w:lang w:val="en-US" w:eastAsia="zh-CN"/>
        </w:rPr>
        <w:t>212</w:t>
      </w:r>
      <w:r>
        <w:rPr>
          <w:rFonts w:hint="eastAsia" w:ascii="仿宋_GB2312" w:eastAsia="仿宋_GB2312" w:cs="仿宋_GB2312"/>
          <w:bCs/>
          <w:color w:val="auto"/>
          <w:kern w:val="0"/>
          <w:sz w:val="32"/>
          <w:szCs w:val="32"/>
        </w:rPr>
        <w:t>%。决算数大于预算数的主要原因是</w:t>
      </w:r>
      <w:r>
        <w:rPr>
          <w:rFonts w:hint="eastAsia" w:ascii="仿宋_GB2312" w:eastAsia="仿宋_GB2312" w:cs="仿宋_GB2312"/>
          <w:bCs/>
          <w:color w:val="auto"/>
          <w:kern w:val="0"/>
          <w:sz w:val="32"/>
          <w:szCs w:val="32"/>
          <w:lang w:eastAsia="zh-CN"/>
        </w:rPr>
        <w:t>上级下</w:t>
      </w:r>
      <w:r>
        <w:rPr>
          <w:rFonts w:hint="eastAsia" w:ascii="仿宋_GB2312" w:eastAsia="仿宋_GB2312" w:cs="仿宋_GB2312"/>
          <w:bCs/>
          <w:color w:val="auto"/>
          <w:kern w:val="0"/>
          <w:sz w:val="32"/>
          <w:szCs w:val="32"/>
        </w:rPr>
        <w:t>拨军休干部增资款。</w:t>
      </w:r>
    </w:p>
    <w:p>
      <w:pPr>
        <w:autoSpaceDE w:val="0"/>
        <w:autoSpaceDN w:val="0"/>
        <w:adjustRightInd w:val="0"/>
        <w:spacing w:line="56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17</w:t>
      </w:r>
      <w:r>
        <w:rPr>
          <w:rFonts w:hint="eastAsia" w:ascii="仿宋_GB2312" w:eastAsia="仿宋_GB2312" w:cs="仿宋_GB2312"/>
          <w:bCs/>
          <w:color w:val="auto"/>
          <w:kern w:val="0"/>
          <w:sz w:val="32"/>
          <w:szCs w:val="32"/>
        </w:rPr>
        <w:t>. 社会保障和就业支出（类）退役安置（款）军队移交政府离退休干部管理机构（项）。年初预算为</w:t>
      </w:r>
      <w:r>
        <w:rPr>
          <w:rFonts w:hint="eastAsia" w:ascii="仿宋_GB2312" w:hAnsi="华文仿宋" w:eastAsia="仿宋_GB2312"/>
          <w:bCs/>
          <w:color w:val="auto"/>
          <w:sz w:val="32"/>
          <w:szCs w:val="32"/>
          <w:lang w:val="en-US" w:eastAsia="zh-CN"/>
        </w:rPr>
        <w:t>119.60</w:t>
      </w:r>
      <w:r>
        <w:rPr>
          <w:rFonts w:hint="eastAsia" w:ascii="仿宋_GB2312" w:eastAsia="仿宋_GB2312" w:cs="仿宋_GB2312"/>
          <w:bCs/>
          <w:color w:val="auto"/>
          <w:kern w:val="0"/>
          <w:sz w:val="32"/>
          <w:szCs w:val="32"/>
        </w:rPr>
        <w:t>万元，支出决算421.29万元，完成年初预算的</w:t>
      </w:r>
      <w:r>
        <w:rPr>
          <w:rFonts w:hint="eastAsia" w:ascii="仿宋_GB2312" w:eastAsia="仿宋_GB2312" w:cs="仿宋_GB2312"/>
          <w:bCs/>
          <w:color w:val="auto"/>
          <w:kern w:val="0"/>
          <w:sz w:val="32"/>
          <w:szCs w:val="32"/>
          <w:lang w:val="en-US" w:eastAsia="zh-CN"/>
        </w:rPr>
        <w:t>352</w:t>
      </w:r>
      <w:r>
        <w:rPr>
          <w:rFonts w:hint="eastAsia" w:ascii="仿宋_GB2312" w:eastAsia="仿宋_GB2312" w:cs="仿宋_GB2312"/>
          <w:bCs/>
          <w:color w:val="auto"/>
          <w:kern w:val="0"/>
          <w:sz w:val="32"/>
          <w:szCs w:val="32"/>
        </w:rPr>
        <w:t>%。决算数大于预算数的主要原因是</w:t>
      </w:r>
      <w:r>
        <w:rPr>
          <w:rFonts w:hint="eastAsia" w:ascii="仿宋_GB2312" w:eastAsia="仿宋_GB2312" w:cs="仿宋_GB2312"/>
          <w:bCs/>
          <w:color w:val="auto"/>
          <w:kern w:val="0"/>
          <w:sz w:val="32"/>
          <w:szCs w:val="32"/>
          <w:lang w:eastAsia="zh-CN"/>
        </w:rPr>
        <w:t>上级下</w:t>
      </w:r>
      <w:r>
        <w:rPr>
          <w:rFonts w:hint="eastAsia" w:ascii="仿宋_GB2312" w:eastAsia="仿宋_GB2312" w:cs="仿宋_GB2312"/>
          <w:bCs/>
          <w:color w:val="auto"/>
          <w:kern w:val="0"/>
          <w:sz w:val="32"/>
          <w:szCs w:val="32"/>
        </w:rPr>
        <w:t>拨军休干部增资款。</w:t>
      </w:r>
    </w:p>
    <w:p>
      <w:pPr>
        <w:autoSpaceDE w:val="0"/>
        <w:autoSpaceDN w:val="0"/>
        <w:adjustRightInd w:val="0"/>
        <w:spacing w:line="56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18</w:t>
      </w:r>
      <w:r>
        <w:rPr>
          <w:rFonts w:hint="eastAsia" w:ascii="仿宋_GB2312" w:eastAsia="仿宋_GB2312" w:cs="仿宋_GB2312"/>
          <w:bCs/>
          <w:color w:val="auto"/>
          <w:kern w:val="0"/>
          <w:sz w:val="32"/>
          <w:szCs w:val="32"/>
        </w:rPr>
        <w:t>. 社会保障和就业支出（类）退役安置（款）退役士兵管理教育（项）。年初预算为0万元，支出决算为35.30万元。决算数大于预算数的主要原因是动用上年结转结余资金</w:t>
      </w:r>
      <w:r>
        <w:rPr>
          <w:rFonts w:hint="eastAsia" w:ascii="仿宋_GB2312" w:eastAsia="仿宋_GB2312" w:cs="仿宋_GB2312"/>
          <w:bCs/>
          <w:color w:val="auto"/>
          <w:kern w:val="0"/>
          <w:sz w:val="32"/>
          <w:szCs w:val="32"/>
          <w:lang w:eastAsia="zh-CN"/>
        </w:rPr>
        <w:t>、上级下拨退役士兵培训资金</w:t>
      </w:r>
      <w:r>
        <w:rPr>
          <w:rFonts w:hint="eastAsia" w:ascii="仿宋_GB2312" w:eastAsia="仿宋_GB2312" w:cs="仿宋_GB2312"/>
          <w:bCs/>
          <w:color w:val="auto"/>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19</w:t>
      </w:r>
      <w:r>
        <w:rPr>
          <w:rFonts w:hint="eastAsia" w:ascii="仿宋_GB2312" w:eastAsia="仿宋_GB2312" w:cs="仿宋_GB2312"/>
          <w:bCs/>
          <w:color w:val="auto"/>
          <w:kern w:val="0"/>
          <w:sz w:val="32"/>
          <w:szCs w:val="32"/>
        </w:rPr>
        <w:t>. 社会保障和就业支出（类）社会福利（款）儿童福利（项）。年初预算为</w:t>
      </w:r>
      <w:r>
        <w:rPr>
          <w:rFonts w:hint="eastAsia" w:ascii="仿宋_GB2312" w:hAnsi="华文仿宋" w:eastAsia="仿宋_GB2312"/>
          <w:bCs/>
          <w:color w:val="auto"/>
          <w:sz w:val="32"/>
          <w:szCs w:val="32"/>
        </w:rPr>
        <w:t>1,</w:t>
      </w:r>
      <w:r>
        <w:rPr>
          <w:rFonts w:hint="eastAsia" w:ascii="仿宋_GB2312" w:hAnsi="华文仿宋" w:eastAsia="仿宋_GB2312"/>
          <w:bCs/>
          <w:color w:val="auto"/>
          <w:sz w:val="32"/>
          <w:szCs w:val="32"/>
          <w:lang w:val="en-US" w:eastAsia="zh-CN"/>
        </w:rPr>
        <w:t>624.22</w:t>
      </w:r>
      <w:r>
        <w:rPr>
          <w:rFonts w:hint="eastAsia" w:ascii="仿宋_GB2312" w:eastAsia="仿宋_GB2312" w:cs="仿宋_GB2312"/>
          <w:bCs/>
          <w:color w:val="auto"/>
          <w:kern w:val="0"/>
          <w:sz w:val="32"/>
          <w:szCs w:val="32"/>
        </w:rPr>
        <w:t>万元，支出决算为1,771.51万元，完成年初预算的1</w:t>
      </w:r>
      <w:r>
        <w:rPr>
          <w:rFonts w:hint="eastAsia" w:ascii="仿宋_GB2312" w:eastAsia="仿宋_GB2312" w:cs="仿宋_GB2312"/>
          <w:bCs/>
          <w:color w:val="auto"/>
          <w:kern w:val="0"/>
          <w:sz w:val="32"/>
          <w:szCs w:val="32"/>
          <w:lang w:val="en-US" w:eastAsia="zh-CN"/>
        </w:rPr>
        <w:t>09</w:t>
      </w:r>
      <w:r>
        <w:rPr>
          <w:rFonts w:hint="eastAsia" w:ascii="仿宋_GB2312" w:eastAsia="仿宋_GB2312" w:cs="仿宋_GB2312"/>
          <w:bCs/>
          <w:color w:val="auto"/>
          <w:kern w:val="0"/>
          <w:sz w:val="32"/>
          <w:szCs w:val="32"/>
        </w:rPr>
        <w:t>%。决算数大于预算数的主要原因是</w:t>
      </w:r>
      <w:r>
        <w:rPr>
          <w:rFonts w:hint="eastAsia" w:ascii="仿宋_GB2312" w:eastAsia="仿宋_GB2312" w:cs="仿宋_GB2312"/>
          <w:bCs/>
          <w:color w:val="auto"/>
          <w:kern w:val="0"/>
          <w:sz w:val="32"/>
          <w:szCs w:val="32"/>
          <w:lang w:eastAsia="zh-CN"/>
        </w:rPr>
        <w:t>儿童福利院</w:t>
      </w:r>
      <w:r>
        <w:rPr>
          <w:rFonts w:hint="eastAsia" w:ascii="仿宋_GB2312" w:eastAsia="仿宋_GB2312" w:cs="仿宋_GB2312"/>
          <w:bCs/>
          <w:color w:val="auto"/>
          <w:kern w:val="0"/>
          <w:sz w:val="32"/>
          <w:szCs w:val="32"/>
        </w:rPr>
        <w:t xml:space="preserve">剩余2018、2019年事业单位绩效考评经费补差、2019年人员变动的人员工资及中央下拨的儿童经费，结转到2020年支付。 </w:t>
      </w:r>
    </w:p>
    <w:p>
      <w:pPr>
        <w:autoSpaceDE w:val="0"/>
        <w:autoSpaceDN w:val="0"/>
        <w:adjustRightInd w:val="0"/>
        <w:spacing w:line="560" w:lineRule="exact"/>
        <w:ind w:firstLine="640" w:firstLineChars="200"/>
        <w:jc w:val="left"/>
        <w:rPr>
          <w:rFonts w:ascii="仿宋_GB2312" w:eastAsia="仿宋_GB2312" w:cs="仿宋_GB2312"/>
          <w:bCs/>
          <w:color w:val="FF0000"/>
          <w:kern w:val="0"/>
          <w:sz w:val="32"/>
          <w:szCs w:val="32"/>
        </w:rPr>
      </w:pPr>
      <w:r>
        <w:rPr>
          <w:rFonts w:hint="eastAsia" w:ascii="仿宋_GB2312" w:eastAsia="仿宋_GB2312" w:cs="仿宋_GB2312"/>
          <w:bCs/>
          <w:color w:val="auto"/>
          <w:kern w:val="0"/>
          <w:sz w:val="32"/>
          <w:szCs w:val="32"/>
        </w:rPr>
        <w:t>2</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 社会保障和就业支出（类）社会福利（款）老年福利（项）。年初预算为</w:t>
      </w:r>
      <w:r>
        <w:rPr>
          <w:rFonts w:hint="eastAsia" w:ascii="仿宋_GB2312" w:hAnsi="华文仿宋" w:eastAsia="仿宋_GB2312"/>
          <w:bCs/>
          <w:color w:val="auto"/>
          <w:sz w:val="32"/>
          <w:szCs w:val="32"/>
          <w:lang w:val="en-US" w:eastAsia="zh-CN"/>
        </w:rPr>
        <w:t>1</w:t>
      </w:r>
      <w:r>
        <w:rPr>
          <w:rFonts w:hint="eastAsia" w:ascii="仿宋_GB2312" w:eastAsia="仿宋_GB2312" w:cs="仿宋_GB2312"/>
          <w:bCs/>
          <w:color w:val="auto"/>
          <w:kern w:val="0"/>
          <w:sz w:val="32"/>
          <w:szCs w:val="32"/>
        </w:rPr>
        <w:t>,</w:t>
      </w:r>
      <w:r>
        <w:rPr>
          <w:rFonts w:hint="eastAsia" w:ascii="仿宋_GB2312" w:hAnsi="华文仿宋" w:eastAsia="仿宋_GB2312"/>
          <w:bCs/>
          <w:color w:val="auto"/>
          <w:sz w:val="32"/>
          <w:szCs w:val="32"/>
          <w:lang w:val="en-US" w:eastAsia="zh-CN"/>
        </w:rPr>
        <w:t>088.83</w:t>
      </w:r>
      <w:r>
        <w:rPr>
          <w:rFonts w:hint="eastAsia" w:ascii="仿宋_GB2312" w:eastAsia="仿宋_GB2312" w:cs="仿宋_GB2312"/>
          <w:bCs/>
          <w:color w:val="auto"/>
          <w:kern w:val="0"/>
          <w:sz w:val="32"/>
          <w:szCs w:val="32"/>
        </w:rPr>
        <w:t>万元，支出决算为1,593.75万元，完成年初预算的</w:t>
      </w:r>
      <w:r>
        <w:rPr>
          <w:rFonts w:hint="eastAsia" w:ascii="仿宋_GB2312" w:eastAsia="仿宋_GB2312" w:cs="仿宋_GB2312"/>
          <w:bCs/>
          <w:color w:val="auto"/>
          <w:kern w:val="0"/>
          <w:sz w:val="32"/>
          <w:szCs w:val="32"/>
          <w:lang w:val="en-US" w:eastAsia="zh-CN"/>
        </w:rPr>
        <w:t>146</w:t>
      </w:r>
      <w:r>
        <w:rPr>
          <w:rFonts w:hint="eastAsia" w:ascii="仿宋_GB2312" w:eastAsia="仿宋_GB2312" w:cs="仿宋_GB2312"/>
          <w:bCs/>
          <w:color w:val="auto"/>
          <w:kern w:val="0"/>
          <w:sz w:val="32"/>
          <w:szCs w:val="32"/>
        </w:rPr>
        <w:t>%。决算数大于预算数的主要原因是</w:t>
      </w:r>
      <w:r>
        <w:rPr>
          <w:rFonts w:hint="eastAsia" w:ascii="仿宋_GB2312" w:eastAsia="仿宋_GB2312" w:cs="仿宋_GB2312"/>
          <w:bCs/>
          <w:color w:val="auto"/>
          <w:kern w:val="0"/>
          <w:sz w:val="32"/>
          <w:szCs w:val="32"/>
          <w:lang w:eastAsia="zh-CN"/>
        </w:rPr>
        <w:t>柳州市本级新增未名办实事</w:t>
      </w:r>
      <w:r>
        <w:rPr>
          <w:rFonts w:hint="eastAsia" w:ascii="仿宋_GB2312" w:eastAsia="仿宋_GB2312" w:cs="仿宋_GB2312"/>
          <w:bCs/>
          <w:color w:val="auto"/>
          <w:kern w:val="0"/>
          <w:sz w:val="32"/>
          <w:szCs w:val="32"/>
        </w:rPr>
        <w:t>“关爱老人防走失定位服务”项目预算</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rPr>
        <w:t>中央下拨下达2018年社会服务兜底工程中央基建投资预算</w:t>
      </w:r>
      <w:r>
        <w:rPr>
          <w:rFonts w:hint="eastAsia" w:ascii="仿宋_GB2312" w:eastAsia="仿宋_GB2312" w:cs="仿宋_GB2312"/>
          <w:bCs/>
          <w:color w:val="auto"/>
          <w:kern w:val="0"/>
          <w:sz w:val="32"/>
          <w:szCs w:val="32"/>
          <w:lang w:eastAsia="zh-CN"/>
        </w:rPr>
        <w:t>历年结余款</w:t>
      </w:r>
      <w:r>
        <w:rPr>
          <w:rFonts w:hint="eastAsia" w:ascii="仿宋_GB2312" w:eastAsia="仿宋_GB2312" w:cs="仿宋_GB2312"/>
          <w:bCs/>
          <w:color w:val="auto"/>
          <w:kern w:val="0"/>
          <w:sz w:val="32"/>
          <w:szCs w:val="32"/>
          <w:lang w:val="en-US" w:eastAsia="zh-CN"/>
        </w:rPr>
        <w:t>280</w:t>
      </w:r>
      <w:r>
        <w:rPr>
          <w:rFonts w:hint="eastAsia" w:ascii="仿宋_GB2312" w:eastAsia="仿宋_GB2312" w:cs="仿宋_GB2312"/>
          <w:bCs/>
          <w:color w:val="auto"/>
          <w:kern w:val="0"/>
          <w:sz w:val="32"/>
          <w:szCs w:val="32"/>
        </w:rPr>
        <w:t>万，用于支付鸿福老年公寓工程项目。</w:t>
      </w:r>
    </w:p>
    <w:p>
      <w:pPr>
        <w:autoSpaceDE w:val="0"/>
        <w:autoSpaceDN w:val="0"/>
        <w:adjustRightInd w:val="0"/>
        <w:spacing w:line="56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2</w:t>
      </w:r>
      <w:r>
        <w:rPr>
          <w:rFonts w:hint="eastAsia" w:ascii="仿宋_GB2312" w:eastAsia="仿宋_GB2312" w:cs="仿宋_GB2312"/>
          <w:bCs/>
          <w:color w:val="auto"/>
          <w:kern w:val="0"/>
          <w:sz w:val="32"/>
          <w:szCs w:val="32"/>
          <w:lang w:val="en-US" w:eastAsia="zh-CN"/>
        </w:rPr>
        <w:t>1</w:t>
      </w:r>
      <w:r>
        <w:rPr>
          <w:rFonts w:hint="eastAsia" w:ascii="仿宋_GB2312" w:eastAsia="仿宋_GB2312" w:cs="仿宋_GB2312"/>
          <w:bCs/>
          <w:color w:val="auto"/>
          <w:kern w:val="0"/>
          <w:sz w:val="32"/>
          <w:szCs w:val="32"/>
        </w:rPr>
        <w:t>. 社会保障和就业支出（类）社会福利（款）殡葬（项）。年初预算为</w:t>
      </w:r>
      <w:r>
        <w:rPr>
          <w:rFonts w:hint="eastAsia" w:ascii="仿宋_GB2312" w:hAnsi="华文仿宋" w:eastAsia="仿宋_GB2312"/>
          <w:bCs/>
          <w:color w:val="auto"/>
          <w:sz w:val="32"/>
          <w:szCs w:val="32"/>
        </w:rPr>
        <w:t>4,</w:t>
      </w:r>
      <w:r>
        <w:rPr>
          <w:rFonts w:hint="eastAsia" w:ascii="仿宋_GB2312" w:hAnsi="华文仿宋" w:eastAsia="仿宋_GB2312"/>
          <w:bCs/>
          <w:color w:val="auto"/>
          <w:sz w:val="32"/>
          <w:szCs w:val="32"/>
          <w:lang w:val="en-US" w:eastAsia="zh-CN"/>
        </w:rPr>
        <w:t>691.57</w:t>
      </w:r>
      <w:r>
        <w:rPr>
          <w:rFonts w:hint="eastAsia" w:ascii="仿宋_GB2312" w:eastAsia="仿宋_GB2312" w:cs="仿宋_GB2312"/>
          <w:bCs/>
          <w:color w:val="auto"/>
          <w:kern w:val="0"/>
          <w:sz w:val="32"/>
          <w:szCs w:val="32"/>
        </w:rPr>
        <w:t>万元，支出决算为4,329.32万元，完成年初预算的</w:t>
      </w:r>
      <w:r>
        <w:rPr>
          <w:rFonts w:hint="eastAsia" w:ascii="仿宋_GB2312" w:eastAsia="仿宋_GB2312" w:cs="仿宋_GB2312"/>
          <w:bCs/>
          <w:color w:val="auto"/>
          <w:kern w:val="0"/>
          <w:sz w:val="32"/>
          <w:szCs w:val="32"/>
          <w:lang w:val="en-US" w:eastAsia="zh-CN"/>
        </w:rPr>
        <w:t>92</w:t>
      </w:r>
      <w:r>
        <w:rPr>
          <w:rFonts w:hint="eastAsia" w:ascii="仿宋_GB2312" w:eastAsia="仿宋_GB2312" w:cs="仿宋_GB2312"/>
          <w:bCs/>
          <w:color w:val="auto"/>
          <w:kern w:val="0"/>
          <w:sz w:val="32"/>
          <w:szCs w:val="32"/>
        </w:rPr>
        <w:t>%。决算数小于预算数的主要原因是烈士陵园公墓管理处</w:t>
      </w:r>
      <w:r>
        <w:rPr>
          <w:rFonts w:hint="eastAsia" w:ascii="仿宋_GB2312" w:eastAsia="仿宋_GB2312" w:cs="仿宋_GB2312"/>
          <w:bCs/>
          <w:color w:val="auto"/>
          <w:kern w:val="0"/>
          <w:sz w:val="32"/>
          <w:szCs w:val="32"/>
          <w:lang w:eastAsia="zh-CN"/>
        </w:rPr>
        <w:t>政府采购项目</w:t>
      </w:r>
      <w:r>
        <w:rPr>
          <w:rFonts w:hint="eastAsia" w:ascii="仿宋_GB2312" w:eastAsia="仿宋_GB2312" w:cs="仿宋_GB2312"/>
          <w:bCs/>
          <w:color w:val="auto"/>
          <w:kern w:val="0"/>
          <w:sz w:val="32"/>
          <w:szCs w:val="32"/>
        </w:rPr>
        <w:t>按工程进度支付款项。</w:t>
      </w:r>
    </w:p>
    <w:p>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2</w:t>
      </w:r>
      <w:r>
        <w:rPr>
          <w:rFonts w:hint="eastAsia" w:ascii="仿宋_GB2312" w:eastAsia="仿宋_GB2312" w:cs="仿宋_GB2312"/>
          <w:bCs/>
          <w:color w:val="auto"/>
          <w:kern w:val="0"/>
          <w:sz w:val="32"/>
          <w:szCs w:val="32"/>
          <w:lang w:val="en-US" w:eastAsia="zh-CN"/>
        </w:rPr>
        <w:t>2</w:t>
      </w:r>
      <w:r>
        <w:rPr>
          <w:rFonts w:hint="eastAsia" w:ascii="仿宋_GB2312" w:eastAsia="仿宋_GB2312" w:cs="仿宋_GB2312"/>
          <w:bCs/>
          <w:color w:val="auto"/>
          <w:kern w:val="0"/>
          <w:sz w:val="32"/>
          <w:szCs w:val="32"/>
        </w:rPr>
        <w:t>. 社会保障和就业支出（类）社会福利（款）社会福利事业单位（项）。年初预算为</w:t>
      </w:r>
      <w:r>
        <w:rPr>
          <w:rFonts w:hint="eastAsia" w:ascii="仿宋_GB2312" w:hAnsi="华文仿宋" w:eastAsia="仿宋_GB2312"/>
          <w:bCs/>
          <w:color w:val="auto"/>
          <w:sz w:val="32"/>
          <w:szCs w:val="32"/>
        </w:rPr>
        <w:t>1</w:t>
      </w:r>
      <w:r>
        <w:rPr>
          <w:rFonts w:ascii="仿宋_GB2312" w:hAnsi="华文仿宋" w:eastAsia="仿宋_GB2312"/>
          <w:bCs/>
          <w:color w:val="auto"/>
          <w:sz w:val="32"/>
          <w:szCs w:val="32"/>
        </w:rPr>
        <w:t>,</w:t>
      </w:r>
      <w:r>
        <w:rPr>
          <w:rFonts w:hint="eastAsia" w:ascii="仿宋_GB2312" w:hAnsi="华文仿宋" w:eastAsia="仿宋_GB2312"/>
          <w:bCs/>
          <w:color w:val="auto"/>
          <w:sz w:val="32"/>
          <w:szCs w:val="32"/>
          <w:lang w:val="en-US" w:eastAsia="zh-CN"/>
        </w:rPr>
        <w:t>332.93</w:t>
      </w:r>
      <w:r>
        <w:rPr>
          <w:rFonts w:hint="eastAsia" w:ascii="仿宋_GB2312" w:eastAsia="仿宋_GB2312" w:cs="仿宋_GB2312"/>
          <w:bCs/>
          <w:color w:val="auto"/>
          <w:kern w:val="0"/>
          <w:sz w:val="32"/>
          <w:szCs w:val="32"/>
        </w:rPr>
        <w:t>万元，支出决算为1,475.37万元，完成年初预算的135%。决算数大于预算数的主要原因是柳州市社会福利医院补发201</w:t>
      </w:r>
      <w:r>
        <w:rPr>
          <w:rFonts w:hint="eastAsia" w:ascii="仿宋_GB2312" w:eastAsia="仿宋_GB2312" w:cs="仿宋_GB2312"/>
          <w:bCs/>
          <w:color w:val="auto"/>
          <w:kern w:val="0"/>
          <w:sz w:val="32"/>
          <w:szCs w:val="32"/>
          <w:lang w:val="en-US" w:eastAsia="zh-CN"/>
        </w:rPr>
        <w:t>8</w:t>
      </w:r>
      <w:r>
        <w:rPr>
          <w:rFonts w:hint="eastAsia" w:ascii="仿宋_GB2312" w:eastAsia="仿宋_GB2312" w:cs="仿宋_GB2312"/>
          <w:bCs/>
          <w:color w:val="auto"/>
          <w:kern w:val="0"/>
          <w:sz w:val="32"/>
          <w:szCs w:val="32"/>
        </w:rPr>
        <w:t>年绩效考评经费及考核发优秀奖</w:t>
      </w:r>
      <w:r>
        <w:rPr>
          <w:rFonts w:hint="eastAsia" w:ascii="仿宋_GB2312" w:eastAsia="仿宋_GB2312" w:cs="仿宋_GB2312"/>
          <w:bCs/>
          <w:color w:val="auto"/>
          <w:kern w:val="0"/>
          <w:sz w:val="32"/>
          <w:szCs w:val="32"/>
          <w:lang w:eastAsia="zh-CN"/>
        </w:rPr>
        <w:t>、增人增资款</w:t>
      </w:r>
      <w:r>
        <w:rPr>
          <w:rFonts w:hint="eastAsia" w:ascii="仿宋_GB2312" w:eastAsia="仿宋_GB2312" w:cs="仿宋_GB2312"/>
          <w:bCs/>
          <w:color w:val="auto"/>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2</w:t>
      </w:r>
      <w:r>
        <w:rPr>
          <w:rFonts w:hint="eastAsia" w:ascii="仿宋_GB2312" w:eastAsia="仿宋_GB2312" w:cs="仿宋_GB2312"/>
          <w:bCs/>
          <w:color w:val="auto"/>
          <w:kern w:val="0"/>
          <w:sz w:val="32"/>
          <w:szCs w:val="32"/>
          <w:lang w:val="en-US" w:eastAsia="zh-CN"/>
        </w:rPr>
        <w:t>3</w:t>
      </w:r>
      <w:r>
        <w:rPr>
          <w:rFonts w:hint="eastAsia" w:ascii="仿宋_GB2312" w:eastAsia="仿宋_GB2312" w:cs="仿宋_GB2312"/>
          <w:bCs/>
          <w:color w:val="auto"/>
          <w:kern w:val="0"/>
          <w:sz w:val="32"/>
          <w:szCs w:val="32"/>
        </w:rPr>
        <w:t>. 社会保障和就业支出（类）社会福利（款）</w:t>
      </w:r>
      <w:r>
        <w:rPr>
          <w:rFonts w:hint="eastAsia" w:ascii="仿宋_GB2312" w:eastAsia="仿宋_GB2312" w:cs="仿宋_GB2312"/>
          <w:bCs/>
          <w:color w:val="auto"/>
          <w:kern w:val="0"/>
          <w:sz w:val="32"/>
          <w:szCs w:val="32"/>
          <w:lang w:eastAsia="zh-CN"/>
        </w:rPr>
        <w:t>其他</w:t>
      </w:r>
      <w:r>
        <w:rPr>
          <w:rFonts w:hint="eastAsia" w:ascii="仿宋_GB2312" w:eastAsia="仿宋_GB2312" w:cs="仿宋_GB2312"/>
          <w:bCs/>
          <w:color w:val="auto"/>
          <w:kern w:val="0"/>
          <w:sz w:val="32"/>
          <w:szCs w:val="32"/>
        </w:rPr>
        <w:t>社会福利</w:t>
      </w:r>
      <w:r>
        <w:rPr>
          <w:rFonts w:hint="eastAsia" w:ascii="仿宋_GB2312" w:eastAsia="仿宋_GB2312" w:cs="仿宋_GB2312"/>
          <w:bCs/>
          <w:color w:val="auto"/>
          <w:kern w:val="0"/>
          <w:sz w:val="32"/>
          <w:szCs w:val="32"/>
          <w:lang w:eastAsia="zh-CN"/>
        </w:rPr>
        <w:t>支出</w:t>
      </w:r>
      <w:r>
        <w:rPr>
          <w:rFonts w:hint="eastAsia" w:ascii="仿宋_GB2312" w:eastAsia="仿宋_GB2312" w:cs="仿宋_GB2312"/>
          <w:bCs/>
          <w:color w:val="auto"/>
          <w:kern w:val="0"/>
          <w:sz w:val="32"/>
          <w:szCs w:val="32"/>
        </w:rPr>
        <w:t>（项）。年初预算为</w:t>
      </w:r>
      <w:r>
        <w:rPr>
          <w:rFonts w:hint="eastAsia" w:ascii="仿宋_GB2312" w:hAnsi="华文仿宋" w:eastAsia="仿宋_GB2312"/>
          <w:bCs/>
          <w:color w:val="auto"/>
          <w:sz w:val="32"/>
          <w:szCs w:val="32"/>
          <w:lang w:val="en-US" w:eastAsia="zh-CN"/>
        </w:rPr>
        <w:t>0</w:t>
      </w:r>
      <w:r>
        <w:rPr>
          <w:rFonts w:hint="eastAsia" w:ascii="仿宋_GB2312" w:eastAsia="仿宋_GB2312" w:cs="仿宋_GB2312"/>
          <w:bCs/>
          <w:color w:val="auto"/>
          <w:kern w:val="0"/>
          <w:sz w:val="32"/>
          <w:szCs w:val="32"/>
        </w:rPr>
        <w:t>万元，支出决算为500.00万元，完成年初预算的</w:t>
      </w:r>
      <w:r>
        <w:rPr>
          <w:rFonts w:hint="eastAsia" w:ascii="仿宋_GB2312" w:eastAsia="仿宋_GB2312" w:cs="仿宋_GB2312"/>
          <w:bCs/>
          <w:color w:val="auto"/>
          <w:kern w:val="0"/>
          <w:sz w:val="32"/>
          <w:szCs w:val="32"/>
          <w:lang w:val="en-US" w:eastAsia="zh-CN"/>
        </w:rPr>
        <w:t>500</w:t>
      </w:r>
      <w:r>
        <w:rPr>
          <w:rFonts w:hint="eastAsia" w:ascii="仿宋_GB2312" w:eastAsia="仿宋_GB2312" w:cs="仿宋_GB2312"/>
          <w:bCs/>
          <w:color w:val="auto"/>
          <w:kern w:val="0"/>
          <w:sz w:val="32"/>
          <w:szCs w:val="32"/>
        </w:rPr>
        <w:t>%。决算数大于预算数的主要原因是</w:t>
      </w:r>
      <w:r>
        <w:rPr>
          <w:rFonts w:hint="eastAsia" w:ascii="仿宋_GB2312" w:eastAsia="仿宋_GB2312" w:cs="仿宋_GB2312"/>
          <w:bCs/>
          <w:color w:val="auto"/>
          <w:kern w:val="0"/>
          <w:sz w:val="32"/>
          <w:szCs w:val="32"/>
          <w:lang w:eastAsia="zh-CN"/>
        </w:rPr>
        <w:t>财政下拨政府债券，用于</w:t>
      </w:r>
      <w:r>
        <w:rPr>
          <w:rFonts w:hint="eastAsia" w:ascii="仿宋_GB2312" w:eastAsia="仿宋_GB2312" w:cs="仿宋_GB2312"/>
          <w:bCs/>
          <w:color w:val="auto"/>
          <w:kern w:val="0"/>
          <w:sz w:val="32"/>
          <w:szCs w:val="32"/>
        </w:rPr>
        <w:t>柳州市</w:t>
      </w:r>
      <w:r>
        <w:rPr>
          <w:rFonts w:hint="eastAsia" w:ascii="仿宋_GB2312" w:eastAsia="仿宋_GB2312" w:cs="仿宋_GB2312"/>
          <w:bCs/>
          <w:color w:val="auto"/>
          <w:kern w:val="0"/>
          <w:sz w:val="32"/>
          <w:szCs w:val="32"/>
          <w:lang w:eastAsia="zh-CN"/>
        </w:rPr>
        <w:t>烈士林园公墓管理处烈士纪念馆经费</w:t>
      </w:r>
      <w:r>
        <w:rPr>
          <w:rFonts w:hint="eastAsia" w:ascii="仿宋_GB2312" w:eastAsia="仿宋_GB2312" w:cs="仿宋_GB2312"/>
          <w:bCs/>
          <w:color w:val="auto"/>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color w:val="FF0000"/>
          <w:kern w:val="0"/>
          <w:sz w:val="32"/>
          <w:szCs w:val="32"/>
        </w:rPr>
      </w:pPr>
      <w:r>
        <w:rPr>
          <w:rFonts w:hint="eastAsia" w:ascii="仿宋_GB2312" w:eastAsia="仿宋_GB2312" w:cs="仿宋_GB2312"/>
          <w:bCs/>
          <w:color w:val="auto"/>
          <w:kern w:val="0"/>
          <w:sz w:val="32"/>
          <w:szCs w:val="32"/>
        </w:rPr>
        <w:t>2</w:t>
      </w:r>
      <w:r>
        <w:rPr>
          <w:rFonts w:hint="eastAsia" w:ascii="仿宋_GB2312" w:eastAsia="仿宋_GB2312" w:cs="仿宋_GB2312"/>
          <w:bCs/>
          <w:color w:val="auto"/>
          <w:kern w:val="0"/>
          <w:sz w:val="32"/>
          <w:szCs w:val="32"/>
          <w:lang w:val="en-US" w:eastAsia="zh-CN"/>
        </w:rPr>
        <w:t>4</w:t>
      </w:r>
      <w:r>
        <w:rPr>
          <w:rFonts w:hint="eastAsia" w:ascii="仿宋_GB2312" w:eastAsia="仿宋_GB2312" w:cs="仿宋_GB2312"/>
          <w:bCs/>
          <w:color w:val="auto"/>
          <w:kern w:val="0"/>
          <w:sz w:val="32"/>
          <w:szCs w:val="32"/>
        </w:rPr>
        <w:t>. 社会保障和就业支出（类）残疾人事业（款）</w:t>
      </w:r>
      <w:r>
        <w:rPr>
          <w:rFonts w:hint="eastAsia" w:ascii="仿宋_GB2312" w:eastAsia="仿宋_GB2312" w:cs="仿宋_GB2312"/>
          <w:bCs/>
          <w:color w:val="auto"/>
          <w:kern w:val="0"/>
          <w:sz w:val="32"/>
          <w:szCs w:val="32"/>
          <w:lang w:eastAsia="zh-CN"/>
        </w:rPr>
        <w:t>其他残疾人事业支出</w:t>
      </w:r>
      <w:r>
        <w:rPr>
          <w:rFonts w:hint="eastAsia" w:ascii="仿宋_GB2312" w:eastAsia="仿宋_GB2312" w:cs="仿宋_GB2312"/>
          <w:bCs/>
          <w:color w:val="auto"/>
          <w:kern w:val="0"/>
          <w:sz w:val="32"/>
          <w:szCs w:val="32"/>
        </w:rPr>
        <w:t>（项）。年初预算为</w:t>
      </w:r>
      <w:r>
        <w:rPr>
          <w:rFonts w:hint="eastAsia" w:ascii="仿宋_GB2312" w:hAnsi="华文仿宋" w:eastAsia="仿宋_GB2312"/>
          <w:bCs/>
          <w:color w:val="auto"/>
          <w:sz w:val="32"/>
          <w:szCs w:val="32"/>
          <w:lang w:val="en-US" w:eastAsia="zh-CN"/>
        </w:rPr>
        <w:t>160</w:t>
      </w:r>
      <w:r>
        <w:rPr>
          <w:rFonts w:hint="eastAsia" w:ascii="仿宋_GB2312" w:eastAsia="仿宋_GB2312" w:cs="仿宋_GB2312"/>
          <w:bCs/>
          <w:color w:val="auto"/>
          <w:kern w:val="0"/>
          <w:sz w:val="32"/>
          <w:szCs w:val="32"/>
        </w:rPr>
        <w:t>.00万元，支出决算为</w:t>
      </w:r>
      <w:r>
        <w:rPr>
          <w:rFonts w:hint="eastAsia" w:ascii="仿宋_GB2312" w:eastAsia="仿宋_GB2312" w:cs="仿宋_GB2312"/>
          <w:bCs/>
          <w:color w:val="auto"/>
          <w:kern w:val="0"/>
          <w:sz w:val="32"/>
          <w:szCs w:val="32"/>
          <w:lang w:val="en-US" w:eastAsia="zh-CN"/>
        </w:rPr>
        <w:t>160</w:t>
      </w:r>
      <w:r>
        <w:rPr>
          <w:rFonts w:hint="eastAsia" w:ascii="仿宋_GB2312" w:eastAsia="仿宋_GB2312" w:cs="仿宋_GB2312"/>
          <w:bCs/>
          <w:color w:val="auto"/>
          <w:kern w:val="0"/>
          <w:sz w:val="32"/>
          <w:szCs w:val="32"/>
        </w:rPr>
        <w:t>.00万元，完成年初预算的</w:t>
      </w:r>
      <w:r>
        <w:rPr>
          <w:rFonts w:hint="eastAsia" w:ascii="仿宋_GB2312" w:eastAsia="仿宋_GB2312" w:cs="仿宋_GB2312"/>
          <w:bCs/>
          <w:color w:val="auto"/>
          <w:kern w:val="0"/>
          <w:sz w:val="32"/>
          <w:szCs w:val="32"/>
          <w:lang w:val="en-US" w:eastAsia="zh-CN"/>
        </w:rPr>
        <w:t>100</w:t>
      </w:r>
      <w:r>
        <w:rPr>
          <w:rFonts w:hint="eastAsia" w:ascii="仿宋_GB2312" w:eastAsia="仿宋_GB2312" w:cs="仿宋_GB2312"/>
          <w:bCs/>
          <w:color w:val="auto"/>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color w:val="FF0000"/>
          <w:kern w:val="0"/>
          <w:sz w:val="32"/>
          <w:szCs w:val="32"/>
        </w:rPr>
      </w:pPr>
      <w:r>
        <w:rPr>
          <w:rFonts w:hint="eastAsia" w:ascii="仿宋_GB2312" w:eastAsia="仿宋_GB2312" w:cs="仿宋_GB2312"/>
          <w:bCs/>
          <w:color w:val="auto"/>
          <w:kern w:val="0"/>
          <w:sz w:val="32"/>
          <w:szCs w:val="32"/>
        </w:rPr>
        <w:t>2</w:t>
      </w:r>
      <w:r>
        <w:rPr>
          <w:rFonts w:hint="eastAsia" w:ascii="仿宋_GB2312" w:eastAsia="仿宋_GB2312" w:cs="仿宋_GB2312"/>
          <w:bCs/>
          <w:color w:val="auto"/>
          <w:kern w:val="0"/>
          <w:sz w:val="32"/>
          <w:szCs w:val="32"/>
          <w:lang w:val="en-US" w:eastAsia="zh-CN"/>
        </w:rPr>
        <w:t>5</w:t>
      </w:r>
      <w:r>
        <w:rPr>
          <w:rFonts w:hint="eastAsia" w:ascii="仿宋_GB2312" w:eastAsia="仿宋_GB2312" w:cs="仿宋_GB2312"/>
          <w:bCs/>
          <w:color w:val="auto"/>
          <w:kern w:val="0"/>
          <w:sz w:val="32"/>
          <w:szCs w:val="32"/>
        </w:rPr>
        <w:t>. 社会保障和就业支出（类）红十字事业（款）</w:t>
      </w:r>
      <w:r>
        <w:rPr>
          <w:rFonts w:hint="eastAsia" w:ascii="仿宋_GB2312" w:eastAsia="仿宋_GB2312" w:cs="仿宋_GB2312"/>
          <w:bCs/>
          <w:color w:val="auto"/>
          <w:kern w:val="0"/>
          <w:sz w:val="32"/>
          <w:szCs w:val="32"/>
          <w:lang w:eastAsia="zh-CN"/>
        </w:rPr>
        <w:t>其他红十字事业支出</w:t>
      </w:r>
      <w:r>
        <w:rPr>
          <w:rFonts w:hint="eastAsia" w:ascii="仿宋_GB2312" w:eastAsia="仿宋_GB2312" w:cs="仿宋_GB2312"/>
          <w:bCs/>
          <w:color w:val="auto"/>
          <w:kern w:val="0"/>
          <w:sz w:val="32"/>
          <w:szCs w:val="32"/>
        </w:rPr>
        <w:t>（项）。年初预算为</w:t>
      </w:r>
      <w:r>
        <w:rPr>
          <w:rFonts w:hint="eastAsia" w:ascii="仿宋_GB2312" w:hAnsi="华文仿宋" w:eastAsia="仿宋_GB2312"/>
          <w:bCs/>
          <w:color w:val="auto"/>
          <w:sz w:val="32"/>
          <w:szCs w:val="32"/>
          <w:lang w:val="en-US" w:eastAsia="zh-CN"/>
        </w:rPr>
        <w:t>199.71</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6.90</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3</w:t>
      </w:r>
      <w:r>
        <w:rPr>
          <w:rFonts w:hint="eastAsia" w:ascii="仿宋_GB2312" w:eastAsia="仿宋_GB2312" w:cs="仿宋_GB2312"/>
          <w:bCs/>
          <w:color w:val="auto"/>
          <w:kern w:val="0"/>
          <w:sz w:val="32"/>
          <w:szCs w:val="32"/>
        </w:rPr>
        <w:t>%。决算数</w:t>
      </w:r>
      <w:r>
        <w:rPr>
          <w:rFonts w:hint="eastAsia" w:ascii="仿宋_GB2312" w:eastAsia="仿宋_GB2312" w:cs="仿宋_GB2312"/>
          <w:bCs/>
          <w:color w:val="auto"/>
          <w:kern w:val="0"/>
          <w:sz w:val="32"/>
          <w:szCs w:val="32"/>
          <w:lang w:eastAsia="zh-CN"/>
        </w:rPr>
        <w:t>小</w:t>
      </w:r>
      <w:r>
        <w:rPr>
          <w:rFonts w:hint="eastAsia" w:ascii="仿宋_GB2312" w:eastAsia="仿宋_GB2312" w:cs="仿宋_GB2312"/>
          <w:bCs/>
          <w:color w:val="auto"/>
          <w:kern w:val="0"/>
          <w:sz w:val="32"/>
          <w:szCs w:val="32"/>
        </w:rPr>
        <w:t>于预算数的主要原因是柳州市</w:t>
      </w:r>
      <w:r>
        <w:rPr>
          <w:rFonts w:hint="eastAsia" w:ascii="仿宋_GB2312" w:eastAsia="仿宋_GB2312" w:cs="仿宋_GB2312"/>
          <w:bCs/>
          <w:color w:val="auto"/>
          <w:kern w:val="0"/>
          <w:sz w:val="32"/>
          <w:szCs w:val="32"/>
          <w:lang w:eastAsia="zh-CN"/>
        </w:rPr>
        <w:t>烈士林园公墓管理处的柳州市遗体器官捐献者缅怀纪念建筑项目工程刚完成项目设计，在走政府采购程序中，预计工程</w:t>
      </w:r>
      <w:r>
        <w:rPr>
          <w:rFonts w:hint="eastAsia" w:ascii="仿宋_GB2312" w:eastAsia="仿宋_GB2312" w:cs="仿宋_GB2312"/>
          <w:bCs/>
          <w:color w:val="auto"/>
          <w:kern w:val="0"/>
          <w:sz w:val="32"/>
          <w:szCs w:val="32"/>
          <w:lang w:val="en-US" w:eastAsia="zh-CN"/>
        </w:rPr>
        <w:t>2020年开工，结转到2020年付款</w:t>
      </w:r>
      <w:r>
        <w:rPr>
          <w:rFonts w:hint="eastAsia" w:ascii="仿宋_GB2312" w:eastAsia="仿宋_GB2312" w:cs="仿宋_GB2312"/>
          <w:bCs/>
          <w:color w:val="auto"/>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26</w:t>
      </w:r>
      <w:r>
        <w:rPr>
          <w:rFonts w:hint="eastAsia" w:ascii="仿宋_GB2312" w:eastAsia="仿宋_GB2312" w:cs="仿宋_GB2312"/>
          <w:bCs/>
          <w:color w:val="auto"/>
          <w:kern w:val="0"/>
          <w:sz w:val="32"/>
          <w:szCs w:val="32"/>
        </w:rPr>
        <w:t>. 社会保障和就业支出（类）临时救助（款）流浪乞讨人员救助支出（项）。年初预算为</w:t>
      </w:r>
      <w:r>
        <w:rPr>
          <w:rFonts w:ascii="仿宋_GB2312" w:hAnsi="华文仿宋" w:eastAsia="仿宋_GB2312"/>
          <w:bCs/>
          <w:color w:val="auto"/>
          <w:sz w:val="32"/>
          <w:szCs w:val="32"/>
        </w:rPr>
        <w:t>1</w:t>
      </w:r>
      <w:r>
        <w:rPr>
          <w:rFonts w:hint="eastAsia" w:ascii="仿宋_GB2312" w:hAnsi="华文仿宋" w:eastAsia="仿宋_GB2312"/>
          <w:bCs/>
          <w:color w:val="auto"/>
          <w:sz w:val="32"/>
          <w:szCs w:val="32"/>
          <w:lang w:val="en-US" w:eastAsia="zh-CN"/>
        </w:rPr>
        <w:t>96.38</w:t>
      </w:r>
      <w:r>
        <w:rPr>
          <w:rFonts w:hint="eastAsia" w:ascii="仿宋_GB2312" w:eastAsia="仿宋_GB2312" w:cs="仿宋_GB2312"/>
          <w:bCs/>
          <w:color w:val="auto"/>
          <w:kern w:val="0"/>
          <w:sz w:val="32"/>
          <w:szCs w:val="32"/>
        </w:rPr>
        <w:t>万元，支出决算为515.90万元，完成年初预算的</w:t>
      </w:r>
      <w:r>
        <w:rPr>
          <w:rFonts w:hint="eastAsia" w:ascii="仿宋_GB2312" w:eastAsia="仿宋_GB2312" w:cs="仿宋_GB2312"/>
          <w:bCs/>
          <w:color w:val="auto"/>
          <w:kern w:val="0"/>
          <w:sz w:val="32"/>
          <w:szCs w:val="32"/>
          <w:lang w:val="en-US" w:eastAsia="zh-CN"/>
        </w:rPr>
        <w:t>263</w:t>
      </w:r>
      <w:r>
        <w:rPr>
          <w:rFonts w:hint="eastAsia" w:ascii="仿宋_GB2312" w:eastAsia="仿宋_GB2312" w:cs="仿宋_GB2312"/>
          <w:bCs/>
          <w:color w:val="auto"/>
          <w:kern w:val="0"/>
          <w:sz w:val="32"/>
          <w:szCs w:val="32"/>
        </w:rPr>
        <w:t>%。决算数大于预算数的主要原因是柳州市救助管理站</w:t>
      </w:r>
      <w:r>
        <w:rPr>
          <w:rFonts w:ascii="仿宋_GB2312" w:eastAsia="仿宋_GB2312" w:cs="仿宋_GB2312"/>
          <w:bCs/>
          <w:color w:val="auto"/>
          <w:kern w:val="0"/>
          <w:sz w:val="32"/>
          <w:szCs w:val="32"/>
        </w:rPr>
        <w:t>动用上年结转结余资金以及中央自治区拨款支付救济费</w:t>
      </w:r>
      <w:r>
        <w:rPr>
          <w:rFonts w:hint="eastAsia" w:ascii="仿宋_GB2312" w:eastAsia="仿宋_GB2312" w:cs="仿宋_GB2312"/>
          <w:bCs/>
          <w:color w:val="auto"/>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27</w:t>
      </w:r>
      <w:r>
        <w:rPr>
          <w:rFonts w:hint="eastAsia" w:ascii="仿宋_GB2312" w:eastAsia="仿宋_GB2312" w:cs="仿宋_GB2312"/>
          <w:bCs/>
          <w:color w:val="auto"/>
          <w:kern w:val="0"/>
          <w:sz w:val="32"/>
          <w:szCs w:val="32"/>
        </w:rPr>
        <w:t>. 社会保障和就业支出（类）其他生活救助（款）其他农村生活救助（项）。年初预算为</w:t>
      </w:r>
      <w:r>
        <w:rPr>
          <w:rFonts w:hint="eastAsia" w:ascii="仿宋_GB2312" w:eastAsia="仿宋_GB2312" w:cs="仿宋_GB2312"/>
          <w:bCs/>
          <w:color w:val="auto"/>
          <w:kern w:val="0"/>
          <w:sz w:val="32"/>
          <w:szCs w:val="32"/>
          <w:lang w:val="en-US" w:eastAsia="zh-CN"/>
        </w:rPr>
        <w:t>10.62</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10.62</w:t>
      </w:r>
      <w:r>
        <w:rPr>
          <w:rFonts w:hint="eastAsia" w:ascii="仿宋_GB2312" w:eastAsia="仿宋_GB2312" w:cs="仿宋_GB2312"/>
          <w:bCs/>
          <w:color w:val="auto"/>
          <w:kern w:val="0"/>
          <w:sz w:val="32"/>
          <w:szCs w:val="32"/>
        </w:rPr>
        <w:t>万元，完成年初预算的1</w:t>
      </w:r>
      <w:r>
        <w:rPr>
          <w:rFonts w:hint="eastAsia" w:ascii="仿宋_GB2312" w:eastAsia="仿宋_GB2312" w:cs="仿宋_GB2312"/>
          <w:bCs/>
          <w:color w:val="auto"/>
          <w:kern w:val="0"/>
          <w:sz w:val="32"/>
          <w:szCs w:val="32"/>
          <w:lang w:val="en-US" w:eastAsia="zh-CN"/>
        </w:rPr>
        <w:t>00</w:t>
      </w:r>
      <w:r>
        <w:rPr>
          <w:rFonts w:hint="eastAsia" w:ascii="仿宋_GB2312" w:eastAsia="仿宋_GB2312" w:cs="仿宋_GB2312"/>
          <w:bCs/>
          <w:color w:val="auto"/>
          <w:kern w:val="0"/>
          <w:sz w:val="32"/>
          <w:szCs w:val="32"/>
        </w:rPr>
        <w:t>%。</w:t>
      </w:r>
    </w:p>
    <w:p>
      <w:pPr>
        <w:ind w:firstLine="640" w:firstLineChars="200"/>
        <w:rPr>
          <w:rFonts w:hint="eastAsia" w:ascii="仿宋_GB2312" w:eastAsia="仿宋_GB2312" w:cs="仿宋_GB2312"/>
          <w:bCs/>
          <w:strike w:val="0"/>
          <w:dstrike w:val="0"/>
          <w:color w:val="FF0000"/>
          <w:kern w:val="0"/>
          <w:sz w:val="32"/>
          <w:szCs w:val="32"/>
          <w:lang w:eastAsia="zh-CN"/>
        </w:rPr>
      </w:pPr>
      <w:r>
        <w:rPr>
          <w:rFonts w:hint="eastAsia" w:ascii="仿宋_GB2312" w:eastAsia="仿宋_GB2312" w:cs="仿宋_GB2312"/>
          <w:bCs/>
          <w:strike w:val="0"/>
          <w:dstrike w:val="0"/>
          <w:color w:val="auto"/>
          <w:kern w:val="0"/>
          <w:sz w:val="32"/>
          <w:szCs w:val="32"/>
          <w:lang w:val="en-US" w:eastAsia="zh-CN"/>
        </w:rPr>
        <w:t>2</w:t>
      </w:r>
      <w:r>
        <w:rPr>
          <w:rFonts w:hint="eastAsia" w:ascii="仿宋_GB2312" w:eastAsia="仿宋_GB2312" w:cs="仿宋_GB2312"/>
          <w:bCs/>
          <w:strike w:val="0"/>
          <w:dstrike w:val="0"/>
          <w:color w:val="auto"/>
          <w:kern w:val="0"/>
          <w:sz w:val="32"/>
          <w:szCs w:val="32"/>
        </w:rPr>
        <w:t>8. 社会保障和就业支出（类）退役军人管理事务（款）行政运行（项）。年初预算为</w:t>
      </w:r>
      <w:r>
        <w:rPr>
          <w:rFonts w:hint="eastAsia" w:ascii="仿宋_GB2312" w:hAnsi="华文仿宋" w:eastAsia="仿宋_GB2312"/>
          <w:bCs/>
          <w:strike w:val="0"/>
          <w:dstrike w:val="0"/>
          <w:color w:val="auto"/>
          <w:sz w:val="32"/>
          <w:szCs w:val="32"/>
          <w:lang w:val="en-US" w:eastAsia="zh-CN"/>
        </w:rPr>
        <w:t>0</w:t>
      </w:r>
      <w:r>
        <w:rPr>
          <w:rFonts w:hint="eastAsia" w:ascii="仿宋_GB2312" w:eastAsia="仿宋_GB2312" w:cs="仿宋_GB2312"/>
          <w:bCs/>
          <w:strike w:val="0"/>
          <w:dstrike w:val="0"/>
          <w:color w:val="auto"/>
          <w:kern w:val="0"/>
          <w:sz w:val="32"/>
          <w:szCs w:val="32"/>
        </w:rPr>
        <w:t>万元，支出决算为1.52万元，完成年初预算的</w:t>
      </w:r>
      <w:r>
        <w:rPr>
          <w:rFonts w:hint="eastAsia" w:ascii="仿宋_GB2312" w:eastAsia="仿宋_GB2312" w:cs="仿宋_GB2312"/>
          <w:bCs/>
          <w:strike w:val="0"/>
          <w:dstrike w:val="0"/>
          <w:color w:val="auto"/>
          <w:kern w:val="0"/>
          <w:sz w:val="32"/>
          <w:szCs w:val="32"/>
          <w:lang w:val="en-US" w:eastAsia="zh-CN"/>
        </w:rPr>
        <w:t>100</w:t>
      </w:r>
      <w:r>
        <w:rPr>
          <w:rFonts w:hint="eastAsia" w:ascii="仿宋_GB2312" w:eastAsia="仿宋_GB2312" w:cs="仿宋_GB2312"/>
          <w:bCs/>
          <w:strike w:val="0"/>
          <w:dstrike w:val="0"/>
          <w:color w:val="auto"/>
          <w:kern w:val="0"/>
          <w:sz w:val="32"/>
          <w:szCs w:val="32"/>
        </w:rPr>
        <w:t>%。决算数大于预算数的主要原因是柳州市军用供应站</w:t>
      </w:r>
      <w:r>
        <w:rPr>
          <w:rFonts w:hint="eastAsia" w:ascii="仿宋_GB2312" w:eastAsia="仿宋_GB2312" w:cs="仿宋_GB2312"/>
          <w:bCs/>
          <w:strike w:val="0"/>
          <w:dstrike w:val="0"/>
          <w:color w:val="auto"/>
          <w:kern w:val="0"/>
          <w:sz w:val="32"/>
          <w:szCs w:val="32"/>
          <w:lang w:eastAsia="zh-CN"/>
        </w:rPr>
        <w:t>动用上年结余用于支付军供人员绩效考评经费等。</w:t>
      </w:r>
    </w:p>
    <w:p>
      <w:pPr>
        <w:autoSpaceDE w:val="0"/>
        <w:autoSpaceDN w:val="0"/>
        <w:adjustRightInd w:val="0"/>
        <w:spacing w:line="560" w:lineRule="exact"/>
        <w:ind w:firstLine="640" w:firstLineChars="200"/>
        <w:jc w:val="left"/>
        <w:rPr>
          <w:rFonts w:hint="eastAsia" w:ascii="仿宋_GB2312" w:eastAsia="仿宋_GB2312" w:cs="仿宋_GB2312"/>
          <w:bCs/>
          <w:strike w:val="0"/>
          <w:dstrike w:val="0"/>
          <w:color w:val="FF0000"/>
          <w:kern w:val="0"/>
          <w:sz w:val="32"/>
          <w:szCs w:val="32"/>
        </w:rPr>
      </w:pPr>
      <w:r>
        <w:rPr>
          <w:rFonts w:hint="eastAsia" w:ascii="仿宋_GB2312" w:eastAsia="仿宋_GB2312" w:cs="仿宋_GB2312"/>
          <w:bCs/>
          <w:strike w:val="0"/>
          <w:dstrike w:val="0"/>
          <w:color w:val="auto"/>
          <w:kern w:val="0"/>
          <w:sz w:val="32"/>
          <w:szCs w:val="32"/>
          <w:lang w:val="en-US" w:eastAsia="zh-CN"/>
        </w:rPr>
        <w:t>29</w:t>
      </w:r>
      <w:r>
        <w:rPr>
          <w:rFonts w:hint="eastAsia" w:ascii="仿宋_GB2312" w:eastAsia="仿宋_GB2312" w:cs="仿宋_GB2312"/>
          <w:bCs/>
          <w:strike w:val="0"/>
          <w:dstrike w:val="0"/>
          <w:color w:val="auto"/>
          <w:kern w:val="0"/>
          <w:sz w:val="32"/>
          <w:szCs w:val="32"/>
        </w:rPr>
        <w:t>. 社会保障和就业支出（类）退役军人管理事务（款）</w:t>
      </w:r>
      <w:r>
        <w:rPr>
          <w:rFonts w:hint="eastAsia" w:ascii="仿宋_GB2312" w:eastAsia="仿宋_GB2312" w:cs="仿宋_GB2312"/>
          <w:bCs/>
          <w:strike w:val="0"/>
          <w:dstrike w:val="0"/>
          <w:color w:val="auto"/>
          <w:kern w:val="0"/>
          <w:sz w:val="32"/>
          <w:szCs w:val="32"/>
          <w:lang w:eastAsia="zh-CN"/>
        </w:rPr>
        <w:t>拥军优属</w:t>
      </w:r>
      <w:r>
        <w:rPr>
          <w:rFonts w:hint="eastAsia" w:ascii="仿宋_GB2312" w:eastAsia="仿宋_GB2312" w:cs="仿宋_GB2312"/>
          <w:bCs/>
          <w:strike w:val="0"/>
          <w:dstrike w:val="0"/>
          <w:color w:val="auto"/>
          <w:kern w:val="0"/>
          <w:sz w:val="32"/>
          <w:szCs w:val="32"/>
        </w:rPr>
        <w:t>（项）。年初预算为</w:t>
      </w:r>
      <w:r>
        <w:rPr>
          <w:rFonts w:hint="eastAsia" w:ascii="仿宋_GB2312" w:hAnsi="华文仿宋" w:eastAsia="仿宋_GB2312"/>
          <w:bCs/>
          <w:strike w:val="0"/>
          <w:dstrike w:val="0"/>
          <w:color w:val="auto"/>
          <w:sz w:val="32"/>
          <w:szCs w:val="32"/>
          <w:lang w:val="en-US" w:eastAsia="zh-CN"/>
        </w:rPr>
        <w:t>490</w:t>
      </w:r>
      <w:r>
        <w:rPr>
          <w:rFonts w:hint="eastAsia" w:ascii="仿宋_GB2312" w:eastAsia="仿宋_GB2312" w:cs="仿宋_GB2312"/>
          <w:bCs/>
          <w:strike w:val="0"/>
          <w:dstrike w:val="0"/>
          <w:color w:val="auto"/>
          <w:kern w:val="0"/>
          <w:sz w:val="32"/>
          <w:szCs w:val="32"/>
        </w:rPr>
        <w:t>万元，支出决算为341.15万元，完成年初预算的</w:t>
      </w:r>
      <w:r>
        <w:rPr>
          <w:rFonts w:hint="eastAsia" w:ascii="仿宋_GB2312" w:eastAsia="仿宋_GB2312" w:cs="仿宋_GB2312"/>
          <w:bCs/>
          <w:strike w:val="0"/>
          <w:dstrike w:val="0"/>
          <w:color w:val="auto"/>
          <w:kern w:val="0"/>
          <w:sz w:val="32"/>
          <w:szCs w:val="32"/>
          <w:lang w:val="en-US" w:eastAsia="zh-CN"/>
        </w:rPr>
        <w:t>70</w:t>
      </w:r>
      <w:r>
        <w:rPr>
          <w:rFonts w:hint="eastAsia" w:ascii="仿宋_GB2312" w:eastAsia="仿宋_GB2312" w:cs="仿宋_GB2312"/>
          <w:bCs/>
          <w:strike w:val="0"/>
          <w:dstrike w:val="0"/>
          <w:color w:val="auto"/>
          <w:kern w:val="0"/>
          <w:sz w:val="32"/>
          <w:szCs w:val="32"/>
        </w:rPr>
        <w:t>%。决算数大于预算数的主要原因是</w:t>
      </w:r>
      <w:r>
        <w:rPr>
          <w:rFonts w:hint="eastAsia" w:ascii="仿宋_GB2312" w:eastAsia="仿宋_GB2312" w:cs="仿宋_GB2312"/>
          <w:bCs/>
          <w:color w:val="auto"/>
          <w:kern w:val="0"/>
          <w:sz w:val="32"/>
          <w:szCs w:val="32"/>
          <w:lang w:eastAsia="zh-CN"/>
        </w:rPr>
        <w:t>机构改革，职能划转，指标也相应划转至退役军人事务局</w:t>
      </w:r>
      <w:r>
        <w:rPr>
          <w:rFonts w:hint="eastAsia" w:ascii="仿宋_GB2312" w:eastAsia="仿宋_GB2312" w:cs="仿宋_GB2312"/>
          <w:bCs/>
          <w:color w:val="auto"/>
          <w:kern w:val="0"/>
          <w:sz w:val="32"/>
          <w:szCs w:val="32"/>
        </w:rPr>
        <w:t>。</w:t>
      </w:r>
    </w:p>
    <w:p>
      <w:pPr>
        <w:ind w:firstLine="640" w:firstLineChars="200"/>
        <w:rPr>
          <w:rFonts w:hint="eastAsia" w:ascii="仿宋_GB2312" w:eastAsia="仿宋_GB2312" w:cs="仿宋_GB2312"/>
          <w:bCs/>
          <w:color w:val="auto"/>
          <w:kern w:val="0"/>
          <w:sz w:val="32"/>
          <w:szCs w:val="32"/>
        </w:rPr>
      </w:pPr>
      <w:r>
        <w:rPr>
          <w:rFonts w:hint="eastAsia" w:ascii="仿宋_GB2312" w:eastAsia="仿宋_GB2312" w:cs="仿宋_GB2312"/>
          <w:bCs/>
          <w:strike w:val="0"/>
          <w:dstrike w:val="0"/>
          <w:color w:val="auto"/>
          <w:kern w:val="0"/>
          <w:sz w:val="32"/>
          <w:szCs w:val="32"/>
          <w:lang w:val="en-US" w:eastAsia="zh-CN"/>
        </w:rPr>
        <w:t>30</w:t>
      </w:r>
      <w:r>
        <w:rPr>
          <w:rFonts w:hint="eastAsia" w:ascii="仿宋_GB2312" w:eastAsia="仿宋_GB2312" w:cs="仿宋_GB2312"/>
          <w:bCs/>
          <w:strike w:val="0"/>
          <w:dstrike w:val="0"/>
          <w:color w:val="auto"/>
          <w:kern w:val="0"/>
          <w:sz w:val="32"/>
          <w:szCs w:val="32"/>
        </w:rPr>
        <w:t>. 社会保障和就业支出（类）退役军人管理事务（款）部队供应（项）。年初预算为</w:t>
      </w:r>
      <w:r>
        <w:rPr>
          <w:rFonts w:hint="eastAsia" w:ascii="仿宋_GB2312" w:hAnsi="华文仿宋" w:eastAsia="仿宋_GB2312"/>
          <w:bCs/>
          <w:strike w:val="0"/>
          <w:dstrike w:val="0"/>
          <w:color w:val="auto"/>
          <w:sz w:val="32"/>
          <w:szCs w:val="32"/>
          <w:lang w:val="en-US" w:eastAsia="zh-CN"/>
        </w:rPr>
        <w:t>175.82</w:t>
      </w:r>
      <w:r>
        <w:rPr>
          <w:rFonts w:hint="eastAsia" w:ascii="仿宋_GB2312" w:eastAsia="仿宋_GB2312" w:cs="仿宋_GB2312"/>
          <w:bCs/>
          <w:strike w:val="0"/>
          <w:dstrike w:val="0"/>
          <w:color w:val="auto"/>
          <w:kern w:val="0"/>
          <w:sz w:val="32"/>
          <w:szCs w:val="32"/>
        </w:rPr>
        <w:t>万元，支出决算为186.26万元，完成年初预算的</w:t>
      </w:r>
      <w:r>
        <w:rPr>
          <w:rFonts w:hint="eastAsia" w:ascii="仿宋_GB2312" w:eastAsia="仿宋_GB2312" w:cs="仿宋_GB2312"/>
          <w:bCs/>
          <w:strike w:val="0"/>
          <w:dstrike w:val="0"/>
          <w:color w:val="auto"/>
          <w:kern w:val="0"/>
          <w:sz w:val="32"/>
          <w:szCs w:val="32"/>
          <w:lang w:val="en-US" w:eastAsia="zh-CN"/>
        </w:rPr>
        <w:t>106</w:t>
      </w:r>
      <w:r>
        <w:rPr>
          <w:rFonts w:hint="eastAsia" w:ascii="仿宋_GB2312" w:eastAsia="仿宋_GB2312" w:cs="仿宋_GB2312"/>
          <w:bCs/>
          <w:strike w:val="0"/>
          <w:dstrike w:val="0"/>
          <w:color w:val="auto"/>
          <w:kern w:val="0"/>
          <w:sz w:val="32"/>
          <w:szCs w:val="32"/>
        </w:rPr>
        <w:t>%。决算数大于预算数的主要原因是柳州市军用供应站中央下达优抚事业补助资金结转到201</w:t>
      </w:r>
      <w:r>
        <w:rPr>
          <w:rFonts w:hint="eastAsia" w:ascii="仿宋_GB2312" w:eastAsia="仿宋_GB2312" w:cs="仿宋_GB2312"/>
          <w:bCs/>
          <w:strike w:val="0"/>
          <w:dstrike w:val="0"/>
          <w:color w:val="auto"/>
          <w:kern w:val="0"/>
          <w:sz w:val="32"/>
          <w:szCs w:val="32"/>
          <w:lang w:val="en-US" w:eastAsia="zh-CN"/>
        </w:rPr>
        <w:t>9</w:t>
      </w:r>
      <w:r>
        <w:rPr>
          <w:rFonts w:hint="eastAsia" w:ascii="仿宋_GB2312" w:eastAsia="仿宋_GB2312" w:cs="仿宋_GB2312"/>
          <w:bCs/>
          <w:strike w:val="0"/>
          <w:dstrike w:val="0"/>
          <w:color w:val="auto"/>
          <w:kern w:val="0"/>
          <w:sz w:val="32"/>
          <w:szCs w:val="32"/>
        </w:rPr>
        <w:t>年用于支付军供厨房设备等。</w:t>
      </w:r>
    </w:p>
    <w:p>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3</w:t>
      </w:r>
      <w:r>
        <w:rPr>
          <w:rFonts w:hint="eastAsia" w:ascii="仿宋_GB2312" w:eastAsia="仿宋_GB2312" w:cs="仿宋_GB2312"/>
          <w:bCs/>
          <w:color w:val="auto"/>
          <w:kern w:val="0"/>
          <w:sz w:val="32"/>
          <w:szCs w:val="32"/>
          <w:lang w:val="en-US" w:eastAsia="zh-CN"/>
        </w:rPr>
        <w:t>1</w:t>
      </w:r>
      <w:r>
        <w:rPr>
          <w:rFonts w:hint="eastAsia" w:ascii="仿宋_GB2312" w:eastAsia="仿宋_GB2312" w:cs="仿宋_GB2312"/>
          <w:bCs/>
          <w:color w:val="auto"/>
          <w:kern w:val="0"/>
          <w:sz w:val="32"/>
          <w:szCs w:val="32"/>
        </w:rPr>
        <w:t>. 社会保障和就业支出（类）其他社会保障和就业支出（款）其他社会保障和就业支出（项）。年初预算为</w:t>
      </w:r>
      <w:r>
        <w:rPr>
          <w:rFonts w:hint="eastAsia" w:ascii="仿宋_GB2312" w:hAnsi="华文仿宋" w:eastAsia="仿宋_GB2312"/>
          <w:bCs/>
          <w:color w:val="auto"/>
          <w:sz w:val="32"/>
          <w:szCs w:val="32"/>
        </w:rPr>
        <w:t>0</w:t>
      </w:r>
      <w:r>
        <w:rPr>
          <w:rFonts w:hint="eastAsia" w:ascii="仿宋_GB2312" w:eastAsia="仿宋_GB2312" w:cs="仿宋_GB2312"/>
          <w:bCs/>
          <w:color w:val="auto"/>
          <w:kern w:val="0"/>
          <w:sz w:val="32"/>
          <w:szCs w:val="32"/>
        </w:rPr>
        <w:t>万元，支出决算为0.69万元。决算数大于预算数的主要原因是</w:t>
      </w:r>
      <w:r>
        <w:rPr>
          <w:rFonts w:hint="eastAsia" w:ascii="仿宋_GB2312" w:eastAsia="仿宋_GB2312" w:cs="仿宋_GB2312"/>
          <w:bCs/>
          <w:color w:val="auto"/>
          <w:kern w:val="0"/>
          <w:sz w:val="32"/>
          <w:szCs w:val="32"/>
          <w:lang w:eastAsia="zh-CN"/>
        </w:rPr>
        <w:t>柳州市民政局动用上年结转结余用于单位人员支出</w:t>
      </w:r>
      <w:r>
        <w:rPr>
          <w:rFonts w:hint="eastAsia" w:ascii="仿宋_GB2312" w:eastAsia="仿宋_GB2312" w:cs="仿宋_GB2312"/>
          <w:bCs/>
          <w:color w:val="auto"/>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rPr>
        <w:t>3</w:t>
      </w:r>
      <w:r>
        <w:rPr>
          <w:rFonts w:hint="eastAsia" w:ascii="仿宋_GB2312" w:eastAsia="仿宋_GB2312" w:cs="仿宋_GB2312"/>
          <w:bCs/>
          <w:color w:val="auto"/>
          <w:kern w:val="0"/>
          <w:sz w:val="32"/>
          <w:szCs w:val="32"/>
          <w:lang w:val="en-US" w:eastAsia="zh-CN"/>
        </w:rPr>
        <w:t>2</w:t>
      </w:r>
      <w:r>
        <w:rPr>
          <w:rFonts w:hint="eastAsia" w:ascii="仿宋_GB2312" w:eastAsia="仿宋_GB2312" w:cs="仿宋_GB2312"/>
          <w:bCs/>
          <w:color w:val="auto"/>
          <w:kern w:val="0"/>
          <w:sz w:val="32"/>
          <w:szCs w:val="32"/>
        </w:rPr>
        <w:t>. 卫生健康支出（类）公立医院（款）精神病医院（项）。年初预算为0万元，支出决算为5.95万元。决算数大于预算数的主要原因是</w:t>
      </w:r>
      <w:r>
        <w:rPr>
          <w:rFonts w:hint="eastAsia" w:ascii="仿宋_GB2312" w:eastAsia="仿宋_GB2312" w:cs="仿宋_GB2312"/>
          <w:bCs/>
          <w:color w:val="auto"/>
          <w:kern w:val="0"/>
          <w:sz w:val="32"/>
          <w:szCs w:val="32"/>
          <w:lang w:eastAsia="zh-CN"/>
        </w:rPr>
        <w:t>柳州市社会福利医院</w:t>
      </w:r>
      <w:r>
        <w:rPr>
          <w:rFonts w:hint="eastAsia" w:ascii="仿宋_GB2312" w:eastAsia="仿宋_GB2312" w:cs="仿宋_GB2312"/>
          <w:bCs/>
          <w:color w:val="auto"/>
          <w:kern w:val="0"/>
          <w:sz w:val="32"/>
          <w:szCs w:val="32"/>
        </w:rPr>
        <w:t>动用上年结转（结余）5.95万元精神病防治项目经费用于康复楼一楼大厅LED显示屏</w:t>
      </w:r>
      <w:r>
        <w:rPr>
          <w:rFonts w:hint="eastAsia" w:ascii="仿宋_GB2312" w:eastAsia="仿宋_GB2312" w:cs="仿宋_GB2312"/>
          <w:bCs/>
          <w:color w:val="auto"/>
          <w:kern w:val="0"/>
          <w:sz w:val="32"/>
          <w:szCs w:val="32"/>
          <w:lang w:eastAsia="zh-CN"/>
        </w:rPr>
        <w:t>购置。</w:t>
      </w:r>
    </w:p>
    <w:p>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rPr>
        <w:t>33. 卫生健康支出（类）公共卫生（款）重大公共卫生专项（项）。年初预算为0万元，支出决算为85.00万元。决算数大于预算数的主要原因是</w:t>
      </w:r>
      <w:r>
        <w:rPr>
          <w:rFonts w:hint="eastAsia" w:ascii="仿宋_GB2312" w:eastAsia="仿宋_GB2312" w:cs="仿宋_GB2312"/>
          <w:bCs/>
          <w:color w:val="auto"/>
          <w:kern w:val="0"/>
          <w:sz w:val="32"/>
          <w:szCs w:val="32"/>
          <w:lang w:eastAsia="zh-CN"/>
        </w:rPr>
        <w:t>财政拨付柳州市福利医院拨付给各城区的项目资金，康复楼LED显示屏，开展各项精防工作支出的广告费，差旅费等。</w:t>
      </w:r>
    </w:p>
    <w:p>
      <w:pPr>
        <w:autoSpaceDE w:val="0"/>
        <w:autoSpaceDN w:val="0"/>
        <w:adjustRightInd w:val="0"/>
        <w:spacing w:line="56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34. 卫生健康支出（类）行政事业单位医疗（款）行政单位医疗（项）。年初预算为</w:t>
      </w:r>
      <w:r>
        <w:rPr>
          <w:rFonts w:hint="eastAsia" w:ascii="仿宋_GB2312" w:hAnsi="华文仿宋" w:eastAsia="仿宋_GB2312"/>
          <w:bCs/>
          <w:color w:val="auto"/>
          <w:sz w:val="32"/>
          <w:szCs w:val="32"/>
          <w:lang w:val="en-US" w:eastAsia="zh-CN"/>
        </w:rPr>
        <w:t>131.76</w:t>
      </w:r>
      <w:r>
        <w:rPr>
          <w:rFonts w:hint="eastAsia" w:ascii="仿宋_GB2312" w:eastAsia="仿宋_GB2312" w:cs="仿宋_GB2312"/>
          <w:bCs/>
          <w:color w:val="auto"/>
          <w:kern w:val="0"/>
          <w:sz w:val="32"/>
          <w:szCs w:val="32"/>
        </w:rPr>
        <w:t>万元，支出决算为130.52万元，完成年初预算的9</w:t>
      </w:r>
      <w:r>
        <w:rPr>
          <w:rFonts w:hint="eastAsia" w:ascii="仿宋_GB2312" w:eastAsia="仿宋_GB2312" w:cs="仿宋_GB2312"/>
          <w:bCs/>
          <w:color w:val="auto"/>
          <w:kern w:val="0"/>
          <w:sz w:val="32"/>
          <w:szCs w:val="32"/>
          <w:lang w:val="en-US" w:eastAsia="zh-CN"/>
        </w:rPr>
        <w:t>9</w:t>
      </w:r>
      <w:r>
        <w:rPr>
          <w:rFonts w:hint="eastAsia" w:ascii="仿宋_GB2312" w:eastAsia="仿宋_GB2312" w:cs="仿宋_GB2312"/>
          <w:bCs/>
          <w:color w:val="auto"/>
          <w:kern w:val="0"/>
          <w:sz w:val="32"/>
          <w:szCs w:val="32"/>
        </w:rPr>
        <w:t>%。决算数小于预算数的主要原因是柳州市城乡居民最低生活保障管理办公室</w:t>
      </w:r>
      <w:r>
        <w:rPr>
          <w:rFonts w:hint="eastAsia" w:ascii="仿宋_GB2312" w:eastAsia="仿宋_GB2312" w:cs="仿宋_GB2312"/>
          <w:bCs/>
          <w:color w:val="auto"/>
          <w:kern w:val="0"/>
          <w:sz w:val="32"/>
          <w:szCs w:val="32"/>
          <w:lang w:eastAsia="zh-CN"/>
        </w:rPr>
        <w:t>退休人员医疗保险费结转到次年</w:t>
      </w:r>
      <w:r>
        <w:rPr>
          <w:rFonts w:hint="eastAsia" w:ascii="仿宋_GB2312" w:eastAsia="仿宋_GB2312" w:cs="仿宋_GB2312"/>
          <w:bCs/>
          <w:color w:val="auto"/>
          <w:kern w:val="0"/>
          <w:sz w:val="32"/>
          <w:szCs w:val="32"/>
          <w:lang w:val="en-US" w:eastAsia="zh-CN"/>
        </w:rPr>
        <w:t>1月缴纳</w:t>
      </w:r>
      <w:r>
        <w:rPr>
          <w:rFonts w:hint="eastAsia" w:ascii="仿宋_GB2312" w:eastAsia="仿宋_GB2312" w:cs="仿宋_GB2312"/>
          <w:bCs/>
          <w:color w:val="auto"/>
          <w:kern w:val="0"/>
          <w:sz w:val="32"/>
          <w:szCs w:val="32"/>
        </w:rPr>
        <w:t>。</w:t>
      </w:r>
    </w:p>
    <w:p>
      <w:pPr>
        <w:spacing w:line="560" w:lineRule="exact"/>
        <w:ind w:firstLine="640" w:firstLineChars="200"/>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35. 卫生健康支出（类）行政事业单位医疗（款）事业单位医疗（项）。年初预算为</w:t>
      </w:r>
      <w:r>
        <w:rPr>
          <w:rFonts w:hint="eastAsia" w:ascii="仿宋_GB2312" w:hAnsi="华文仿宋" w:eastAsia="仿宋_GB2312"/>
          <w:bCs/>
          <w:color w:val="auto"/>
          <w:sz w:val="32"/>
          <w:szCs w:val="32"/>
          <w:lang w:val="en-US" w:eastAsia="zh-CN"/>
        </w:rPr>
        <w:t>110.67</w:t>
      </w:r>
      <w:r>
        <w:rPr>
          <w:rFonts w:hint="eastAsia" w:ascii="仿宋_GB2312" w:eastAsia="仿宋_GB2312" w:cs="仿宋_GB2312"/>
          <w:bCs/>
          <w:color w:val="auto"/>
          <w:kern w:val="0"/>
          <w:sz w:val="32"/>
          <w:szCs w:val="32"/>
        </w:rPr>
        <w:t>万元，支出决算为111.04万元，完成年初预算的</w:t>
      </w:r>
      <w:r>
        <w:rPr>
          <w:rFonts w:hint="eastAsia" w:ascii="仿宋_GB2312" w:eastAsia="仿宋_GB2312" w:cs="仿宋_GB2312"/>
          <w:bCs/>
          <w:color w:val="auto"/>
          <w:kern w:val="0"/>
          <w:sz w:val="32"/>
          <w:szCs w:val="32"/>
          <w:lang w:val="en-US" w:eastAsia="zh-CN"/>
        </w:rPr>
        <w:t>99</w:t>
      </w:r>
      <w:r>
        <w:rPr>
          <w:rFonts w:hint="eastAsia" w:ascii="仿宋_GB2312" w:eastAsia="仿宋_GB2312" w:cs="仿宋_GB2312"/>
          <w:bCs/>
          <w:color w:val="auto"/>
          <w:kern w:val="0"/>
          <w:sz w:val="32"/>
          <w:szCs w:val="32"/>
        </w:rPr>
        <w:t>%。决算数大于预算数的主要原因是因</w:t>
      </w:r>
      <w:r>
        <w:rPr>
          <w:rFonts w:hint="eastAsia" w:ascii="仿宋_GB2312" w:eastAsia="仿宋_GB2312" w:cs="仿宋_GB2312"/>
          <w:bCs/>
          <w:color w:val="auto"/>
          <w:kern w:val="0"/>
          <w:sz w:val="32"/>
          <w:szCs w:val="32"/>
          <w:lang w:eastAsia="zh-CN"/>
        </w:rPr>
        <w:t>财政指标下达较晚，儿童福利院、按摩医院职工医疗保险结转至次年缴纳</w:t>
      </w:r>
      <w:r>
        <w:rPr>
          <w:rFonts w:hint="eastAsia" w:ascii="仿宋_GB2312" w:eastAsia="仿宋_GB2312" w:cs="仿宋_GB2312"/>
          <w:bCs/>
          <w:color w:val="auto"/>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rPr>
        <w:t>36. 卫生健康支出（类）行政事业单位医疗（款）公务员医疗补助（项）。年初预算为</w:t>
      </w:r>
      <w:r>
        <w:rPr>
          <w:rFonts w:hint="eastAsia" w:ascii="仿宋_GB2312" w:hAnsi="华文仿宋" w:eastAsia="仿宋_GB2312"/>
          <w:bCs/>
          <w:color w:val="auto"/>
          <w:sz w:val="32"/>
          <w:szCs w:val="32"/>
        </w:rPr>
        <w:t>676.77</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638.51</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rPr>
        <w:t>完成年初预算的</w:t>
      </w:r>
      <w:r>
        <w:rPr>
          <w:rFonts w:hint="eastAsia" w:ascii="仿宋_GB2312" w:eastAsia="仿宋_GB2312" w:cs="仿宋_GB2312"/>
          <w:bCs/>
          <w:color w:val="auto"/>
          <w:kern w:val="0"/>
          <w:sz w:val="32"/>
          <w:szCs w:val="32"/>
          <w:lang w:val="en-US" w:eastAsia="zh-CN"/>
        </w:rPr>
        <w:t>94</w:t>
      </w:r>
      <w:r>
        <w:rPr>
          <w:rFonts w:hint="eastAsia" w:ascii="仿宋_GB2312" w:eastAsia="仿宋_GB2312" w:cs="仿宋_GB2312"/>
          <w:bCs/>
          <w:color w:val="auto"/>
          <w:kern w:val="0"/>
          <w:sz w:val="32"/>
          <w:szCs w:val="32"/>
        </w:rPr>
        <w:t>%。决算数大于预算数的主要原因是</w:t>
      </w:r>
      <w:r>
        <w:rPr>
          <w:rFonts w:hint="eastAsia" w:ascii="仿宋_GB2312" w:eastAsia="仿宋_GB2312" w:cs="仿宋_GB2312"/>
          <w:bCs/>
          <w:color w:val="auto"/>
          <w:kern w:val="0"/>
          <w:sz w:val="32"/>
          <w:szCs w:val="32"/>
          <w:lang w:eastAsia="zh-CN"/>
        </w:rPr>
        <w:t>财政指标下达较晚，柳州市城乡居民最低生活保障管理办公室公务员医疗补助差额，已转入税费专户待2020年缴纳；柳州市军队离退休干部服务管理中心：公务员医疗补助为军休干部使用，主要按社保局通知金额缴付。本年未使用完毕的资金主要由2018年结转来，2018年我单位拨款之初已与财政局社保科和安置办沟通协调过，年度拨款金额超我单位预计使用金额，我单位于2018年度按实际金额缴付后，余额结存至2019年。</w:t>
      </w:r>
    </w:p>
    <w:p>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37. 卫生健康支出（类）行政事业单位医疗（款）其他行政事业单位医疗支出（项）。年初预算为</w:t>
      </w:r>
      <w:r>
        <w:rPr>
          <w:rFonts w:hint="eastAsia" w:ascii="仿宋_GB2312" w:hAnsi="华文仿宋" w:eastAsia="仿宋_GB2312"/>
          <w:bCs/>
          <w:color w:val="auto"/>
          <w:sz w:val="32"/>
          <w:szCs w:val="32"/>
        </w:rPr>
        <w:t>0</w:t>
      </w:r>
      <w:r>
        <w:rPr>
          <w:rFonts w:hint="eastAsia" w:ascii="仿宋_GB2312" w:eastAsia="仿宋_GB2312" w:cs="仿宋_GB2312"/>
          <w:bCs/>
          <w:color w:val="auto"/>
          <w:kern w:val="0"/>
          <w:sz w:val="32"/>
          <w:szCs w:val="32"/>
        </w:rPr>
        <w:t>万元，支出决算为3.58万元。决算数大于预算数的主要原因是市财政拨付柳州市社会福利医院、柳州市社会福利院</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rPr>
        <w:t>柳州市备灾中心</w:t>
      </w:r>
      <w:r>
        <w:rPr>
          <w:rFonts w:hint="eastAsia" w:ascii="仿宋_GB2312" w:eastAsia="仿宋_GB2312" w:cs="仿宋_GB2312"/>
          <w:bCs/>
          <w:color w:val="auto"/>
          <w:kern w:val="0"/>
          <w:sz w:val="32"/>
          <w:szCs w:val="32"/>
          <w:lang w:eastAsia="zh-CN"/>
        </w:rPr>
        <w:t>、柳州市救助管理站</w:t>
      </w:r>
      <w:r>
        <w:rPr>
          <w:rFonts w:hint="eastAsia" w:ascii="仿宋_GB2312" w:eastAsia="仿宋_GB2312" w:cs="仿宋_GB2312"/>
          <w:bCs/>
          <w:color w:val="auto"/>
          <w:kern w:val="0"/>
          <w:sz w:val="32"/>
          <w:szCs w:val="32"/>
        </w:rPr>
        <w:t>增人增资及调资拨入职工医疗保险款</w:t>
      </w:r>
      <w:r>
        <w:rPr>
          <w:rFonts w:hint="eastAsia" w:ascii="仿宋_GB2312" w:eastAsia="仿宋_GB2312" w:cs="仿宋_GB2312"/>
          <w:bCs/>
          <w:color w:val="auto"/>
          <w:kern w:val="0"/>
          <w:sz w:val="32"/>
          <w:szCs w:val="32"/>
          <w:lang w:eastAsia="zh-CN"/>
        </w:rPr>
        <w:t>，因指标下达较晚，结转至</w:t>
      </w:r>
      <w:r>
        <w:rPr>
          <w:rFonts w:hint="eastAsia" w:ascii="仿宋_GB2312" w:eastAsia="仿宋_GB2312" w:cs="仿宋_GB2312"/>
          <w:bCs/>
          <w:color w:val="auto"/>
          <w:kern w:val="0"/>
          <w:sz w:val="32"/>
          <w:szCs w:val="32"/>
          <w:lang w:val="en-US" w:eastAsia="zh-CN"/>
        </w:rPr>
        <w:t>2020年支付</w:t>
      </w:r>
      <w:r>
        <w:rPr>
          <w:rFonts w:hint="eastAsia" w:ascii="仿宋_GB2312" w:eastAsia="仿宋_GB2312" w:cs="仿宋_GB2312"/>
          <w:bCs/>
          <w:color w:val="auto"/>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strike w:val="0"/>
          <w:dstrike w:val="0"/>
          <w:color w:val="auto"/>
          <w:kern w:val="0"/>
          <w:sz w:val="32"/>
          <w:szCs w:val="32"/>
          <w:lang w:val="en-US" w:eastAsia="zh-CN"/>
        </w:rPr>
        <w:t>38</w:t>
      </w:r>
      <w:r>
        <w:rPr>
          <w:rFonts w:hint="eastAsia" w:ascii="仿宋_GB2312" w:eastAsia="仿宋_GB2312" w:cs="仿宋_GB2312"/>
          <w:bCs/>
          <w:strike w:val="0"/>
          <w:dstrike w:val="0"/>
          <w:color w:val="auto"/>
          <w:kern w:val="0"/>
          <w:sz w:val="32"/>
          <w:szCs w:val="32"/>
        </w:rPr>
        <w:t xml:space="preserve">. </w:t>
      </w:r>
      <w:r>
        <w:rPr>
          <w:rFonts w:hint="eastAsia" w:ascii="仿宋_GB2312" w:eastAsia="仿宋_GB2312" w:cs="仿宋_GB2312"/>
          <w:bCs/>
          <w:color w:val="auto"/>
          <w:kern w:val="0"/>
          <w:sz w:val="32"/>
          <w:szCs w:val="32"/>
        </w:rPr>
        <w:t>卫生健康支出</w:t>
      </w:r>
      <w:r>
        <w:rPr>
          <w:rFonts w:hint="eastAsia" w:ascii="仿宋_GB2312" w:eastAsia="仿宋_GB2312" w:cs="仿宋_GB2312"/>
          <w:bCs/>
          <w:strike w:val="0"/>
          <w:dstrike w:val="0"/>
          <w:color w:val="auto"/>
          <w:kern w:val="0"/>
          <w:sz w:val="32"/>
          <w:szCs w:val="32"/>
        </w:rPr>
        <w:t>（类）老龄卫生健康事务（款）老龄卫生健康事务（项）。年初预算为</w:t>
      </w:r>
      <w:r>
        <w:rPr>
          <w:rFonts w:hint="eastAsia" w:ascii="仿宋_GB2312" w:eastAsia="仿宋_GB2312" w:cs="仿宋_GB2312"/>
          <w:bCs/>
          <w:strike w:val="0"/>
          <w:dstrike w:val="0"/>
          <w:color w:val="auto"/>
          <w:kern w:val="0"/>
          <w:sz w:val="32"/>
          <w:szCs w:val="32"/>
          <w:lang w:val="en-US" w:eastAsia="zh-CN"/>
        </w:rPr>
        <w:t>931.5</w:t>
      </w:r>
      <w:r>
        <w:rPr>
          <w:rFonts w:hint="eastAsia" w:ascii="仿宋_GB2312" w:eastAsia="仿宋_GB2312" w:cs="仿宋_GB2312"/>
          <w:bCs/>
          <w:strike w:val="0"/>
          <w:dstrike w:val="0"/>
          <w:color w:val="auto"/>
          <w:kern w:val="0"/>
          <w:sz w:val="32"/>
          <w:szCs w:val="32"/>
        </w:rPr>
        <w:t>万元，支出决算为896.14万元，完成年初预算的</w:t>
      </w:r>
      <w:r>
        <w:rPr>
          <w:rFonts w:hint="eastAsia" w:ascii="仿宋_GB2312" w:eastAsia="仿宋_GB2312" w:cs="仿宋_GB2312"/>
          <w:bCs/>
          <w:strike w:val="0"/>
          <w:dstrike w:val="0"/>
          <w:color w:val="auto"/>
          <w:kern w:val="0"/>
          <w:sz w:val="32"/>
          <w:szCs w:val="32"/>
          <w:lang w:val="en-US" w:eastAsia="zh-CN"/>
        </w:rPr>
        <w:t>96</w:t>
      </w:r>
      <w:r>
        <w:rPr>
          <w:rFonts w:hint="eastAsia" w:ascii="仿宋_GB2312" w:eastAsia="仿宋_GB2312" w:cs="仿宋_GB2312"/>
          <w:bCs/>
          <w:strike w:val="0"/>
          <w:dstrike w:val="0"/>
          <w:color w:val="auto"/>
          <w:kern w:val="0"/>
          <w:sz w:val="32"/>
          <w:szCs w:val="32"/>
        </w:rPr>
        <w:t>%。决算数大于预算数的主要原因是</w:t>
      </w:r>
      <w:r>
        <w:rPr>
          <w:rFonts w:hint="eastAsia" w:ascii="仿宋_GB2312" w:eastAsia="仿宋_GB2312" w:cs="仿宋_GB2312"/>
          <w:bCs/>
          <w:color w:val="auto"/>
          <w:kern w:val="0"/>
          <w:sz w:val="32"/>
          <w:szCs w:val="32"/>
          <w:lang w:eastAsia="zh-CN"/>
        </w:rPr>
        <w:t>机构改革，职能划转，指标也相应划转至卫健委</w:t>
      </w:r>
      <w:r>
        <w:rPr>
          <w:rFonts w:hint="eastAsia" w:ascii="仿宋_GB2312" w:eastAsia="仿宋_GB2312" w:cs="仿宋_GB2312"/>
          <w:bCs/>
          <w:color w:val="auto"/>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39. 城乡社区支出（类）城乡社区规划与管理（款）城乡社区规划与管理（项）。年初预算为0万元，支出决算为20.00万元</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strike w:val="0"/>
          <w:dstrike w:val="0"/>
          <w:color w:val="auto"/>
          <w:kern w:val="0"/>
          <w:sz w:val="32"/>
          <w:szCs w:val="32"/>
        </w:rPr>
        <w:t>完成年初预算的</w:t>
      </w:r>
      <w:r>
        <w:rPr>
          <w:rFonts w:hint="eastAsia" w:ascii="仿宋_GB2312" w:eastAsia="仿宋_GB2312" w:cs="仿宋_GB2312"/>
          <w:bCs/>
          <w:strike w:val="0"/>
          <w:dstrike w:val="0"/>
          <w:color w:val="auto"/>
          <w:kern w:val="0"/>
          <w:sz w:val="32"/>
          <w:szCs w:val="32"/>
          <w:lang w:val="en-US" w:eastAsia="zh-CN"/>
        </w:rPr>
        <w:t>100</w:t>
      </w:r>
      <w:r>
        <w:rPr>
          <w:rFonts w:hint="eastAsia" w:ascii="仿宋_GB2312" w:eastAsia="仿宋_GB2312" w:cs="仿宋_GB2312"/>
          <w:bCs/>
          <w:strike w:val="0"/>
          <w:dstrike w:val="0"/>
          <w:color w:val="auto"/>
          <w:kern w:val="0"/>
          <w:sz w:val="32"/>
          <w:szCs w:val="32"/>
        </w:rPr>
        <w:t>%</w:t>
      </w:r>
      <w:r>
        <w:rPr>
          <w:rFonts w:hint="eastAsia" w:ascii="仿宋_GB2312" w:eastAsia="仿宋_GB2312" w:cs="仿宋_GB2312"/>
          <w:bCs/>
          <w:color w:val="auto"/>
          <w:kern w:val="0"/>
          <w:sz w:val="32"/>
          <w:szCs w:val="32"/>
        </w:rPr>
        <w:t>。决算数大于预算数的主要原因是</w:t>
      </w:r>
      <w:r>
        <w:rPr>
          <w:rFonts w:hint="eastAsia" w:ascii="仿宋_GB2312" w:eastAsia="仿宋_GB2312" w:cs="仿宋_GB2312"/>
          <w:bCs/>
          <w:color w:val="auto"/>
          <w:kern w:val="0"/>
          <w:sz w:val="32"/>
          <w:szCs w:val="32"/>
          <w:lang w:eastAsia="zh-CN"/>
        </w:rPr>
        <w:t>动用上年结转结余政府购买地名总体规划编制服务费首款</w:t>
      </w:r>
      <w:r>
        <w:rPr>
          <w:rFonts w:hint="eastAsia" w:ascii="仿宋_GB2312" w:eastAsia="仿宋_GB2312" w:cs="仿宋_GB2312"/>
          <w:bCs/>
          <w:color w:val="auto"/>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4</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 住房保障支出（类）住房改革支出（款）住房公积金（项）。年初预算为</w:t>
      </w:r>
      <w:r>
        <w:rPr>
          <w:rFonts w:hint="eastAsia" w:ascii="仿宋_GB2312" w:hAnsi="华文仿宋" w:eastAsia="仿宋_GB2312"/>
          <w:bCs/>
          <w:color w:val="auto"/>
          <w:sz w:val="32"/>
          <w:szCs w:val="32"/>
        </w:rPr>
        <w:t>385.</w:t>
      </w:r>
      <w:r>
        <w:rPr>
          <w:rFonts w:hint="eastAsia" w:ascii="仿宋_GB2312" w:hAnsi="华文仿宋" w:eastAsia="仿宋_GB2312"/>
          <w:bCs/>
          <w:color w:val="auto"/>
          <w:sz w:val="32"/>
          <w:szCs w:val="32"/>
          <w:lang w:val="en-US" w:eastAsia="zh-CN"/>
        </w:rPr>
        <w:t>86</w:t>
      </w:r>
      <w:r>
        <w:rPr>
          <w:rFonts w:hint="eastAsia" w:ascii="仿宋_GB2312" w:eastAsia="仿宋_GB2312" w:cs="仿宋_GB2312"/>
          <w:bCs/>
          <w:color w:val="auto"/>
          <w:kern w:val="0"/>
          <w:sz w:val="32"/>
          <w:szCs w:val="32"/>
        </w:rPr>
        <w:t>万元，支出决算为407.63万元，完成年初预算的10</w:t>
      </w:r>
      <w:r>
        <w:rPr>
          <w:rFonts w:hint="eastAsia" w:ascii="仿宋_GB2312" w:eastAsia="仿宋_GB2312" w:cs="仿宋_GB2312"/>
          <w:bCs/>
          <w:color w:val="auto"/>
          <w:kern w:val="0"/>
          <w:sz w:val="32"/>
          <w:szCs w:val="32"/>
          <w:lang w:val="en-US" w:eastAsia="zh-CN"/>
        </w:rPr>
        <w:t>6</w:t>
      </w:r>
      <w:r>
        <w:rPr>
          <w:rFonts w:hint="eastAsia" w:ascii="仿宋_GB2312" w:eastAsia="仿宋_GB2312" w:cs="仿宋_GB2312"/>
          <w:bCs/>
          <w:color w:val="auto"/>
          <w:kern w:val="0"/>
          <w:sz w:val="32"/>
          <w:szCs w:val="32"/>
        </w:rPr>
        <w:t>%。决算数大于预算数的主要原因是</w:t>
      </w:r>
      <w:r>
        <w:rPr>
          <w:rFonts w:hint="eastAsia" w:ascii="仿宋_GB2312" w:eastAsia="仿宋_GB2312" w:cs="仿宋_GB2312"/>
          <w:bCs/>
          <w:color w:val="auto"/>
          <w:kern w:val="0"/>
          <w:sz w:val="32"/>
          <w:szCs w:val="32"/>
          <w:lang w:eastAsia="zh-CN"/>
        </w:rPr>
        <w:t>财政下拨</w:t>
      </w:r>
      <w:r>
        <w:rPr>
          <w:rFonts w:hint="eastAsia" w:ascii="仿宋_GB2312" w:eastAsia="仿宋_GB2312" w:cs="仿宋_GB2312"/>
          <w:bCs/>
          <w:color w:val="auto"/>
          <w:kern w:val="0"/>
          <w:sz w:val="32"/>
          <w:szCs w:val="32"/>
        </w:rPr>
        <w:t>增人增资公积金</w:t>
      </w:r>
      <w:r>
        <w:rPr>
          <w:rFonts w:hint="eastAsia" w:ascii="仿宋_GB2312" w:eastAsia="仿宋_GB2312" w:cs="仿宋_GB2312"/>
          <w:bCs/>
          <w:color w:val="auto"/>
          <w:kern w:val="0"/>
          <w:sz w:val="32"/>
          <w:szCs w:val="32"/>
          <w:lang w:eastAsia="zh-CN"/>
        </w:rPr>
        <w:t>款</w:t>
      </w:r>
      <w:r>
        <w:rPr>
          <w:rFonts w:hint="eastAsia" w:ascii="仿宋_GB2312" w:eastAsia="仿宋_GB2312" w:cs="仿宋_GB2312"/>
          <w:bCs/>
          <w:color w:val="auto"/>
          <w:kern w:val="0"/>
          <w:sz w:val="32"/>
          <w:szCs w:val="32"/>
        </w:rPr>
        <w:t>项。</w:t>
      </w:r>
    </w:p>
    <w:p>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4</w:t>
      </w:r>
      <w:r>
        <w:rPr>
          <w:rFonts w:hint="eastAsia" w:ascii="仿宋_GB2312" w:eastAsia="仿宋_GB2312" w:cs="仿宋_GB2312"/>
          <w:bCs/>
          <w:color w:val="auto"/>
          <w:kern w:val="0"/>
          <w:sz w:val="32"/>
          <w:szCs w:val="32"/>
          <w:lang w:val="en-US" w:eastAsia="zh-CN"/>
        </w:rPr>
        <w:t>1</w:t>
      </w:r>
      <w:r>
        <w:rPr>
          <w:rFonts w:hint="eastAsia" w:ascii="仿宋_GB2312" w:eastAsia="仿宋_GB2312" w:cs="仿宋_GB2312"/>
          <w:bCs/>
          <w:color w:val="auto"/>
          <w:kern w:val="0"/>
          <w:sz w:val="32"/>
          <w:szCs w:val="32"/>
        </w:rPr>
        <w:t>. 住房保障支出（类）住房改革支出（款）购房补贴（项）。年初预算为0万元，支出决算为4.19万元，完成年初预算的10</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%。决算数大于预算数的主要原因是财政按文件拨付职工购房补贴款项。</w:t>
      </w:r>
    </w:p>
    <w:p>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rPr>
        <w:t>42. 粮油物资储备支出（类）重要商品储备（款）其他重要商品储备支出（项）。年初预算为0万元，支出决算为1,040.00万元，完成年初预算的10</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%。决算数大于预算数的主要原因是</w:t>
      </w:r>
      <w:r>
        <w:rPr>
          <w:rFonts w:hint="eastAsia" w:ascii="仿宋_GB2312" w:eastAsia="仿宋_GB2312" w:cs="仿宋_GB2312"/>
          <w:bCs/>
          <w:color w:val="auto"/>
          <w:kern w:val="0"/>
          <w:sz w:val="32"/>
          <w:szCs w:val="32"/>
          <w:lang w:eastAsia="zh-CN"/>
        </w:rPr>
        <w:t>上级补助</w:t>
      </w:r>
      <w:r>
        <w:rPr>
          <w:rFonts w:hint="eastAsia" w:ascii="仿宋_GB2312" w:eastAsia="仿宋_GB2312" w:cs="仿宋_GB2312"/>
          <w:bCs/>
          <w:color w:val="auto"/>
          <w:kern w:val="0"/>
          <w:sz w:val="32"/>
          <w:szCs w:val="32"/>
          <w:lang w:val="en-US" w:eastAsia="zh-CN"/>
        </w:rPr>
        <w:t>1,040</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eastAsia="zh-CN"/>
        </w:rPr>
        <w:t>，用于备灾仓库建设款。</w:t>
      </w:r>
    </w:p>
    <w:p>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lang w:eastAsia="zh-CN"/>
        </w:rPr>
      </w:pPr>
      <w:r>
        <w:rPr>
          <w:rFonts w:hint="eastAsia" w:ascii="仿宋_GB2312" w:eastAsia="仿宋_GB2312" w:cs="仿宋_GB2312"/>
          <w:bCs/>
          <w:strike w:val="0"/>
          <w:dstrike w:val="0"/>
          <w:color w:val="auto"/>
          <w:kern w:val="0"/>
          <w:sz w:val="32"/>
          <w:szCs w:val="32"/>
          <w:lang w:val="en-US" w:eastAsia="zh-CN"/>
        </w:rPr>
        <w:t>43</w:t>
      </w:r>
      <w:r>
        <w:rPr>
          <w:rFonts w:hint="eastAsia" w:ascii="仿宋_GB2312" w:eastAsia="仿宋_GB2312" w:cs="仿宋_GB2312"/>
          <w:bCs/>
          <w:strike w:val="0"/>
          <w:dstrike w:val="0"/>
          <w:color w:val="auto"/>
          <w:kern w:val="0"/>
          <w:sz w:val="32"/>
          <w:szCs w:val="32"/>
        </w:rPr>
        <w:t>. 灾害防治及应急管理支出（类）自然灾害救灾及恢复重建支出（款）地方自然灾害生活</w:t>
      </w:r>
      <w:r>
        <w:rPr>
          <w:rFonts w:hint="eastAsia" w:ascii="仿宋_GB2312" w:eastAsia="仿宋_GB2312" w:cs="仿宋_GB2312"/>
          <w:bCs/>
          <w:strike w:val="0"/>
          <w:dstrike w:val="0"/>
          <w:color w:val="auto"/>
          <w:kern w:val="0"/>
          <w:sz w:val="32"/>
          <w:szCs w:val="32"/>
          <w:lang w:eastAsia="zh-CN"/>
        </w:rPr>
        <w:t>补</w:t>
      </w:r>
      <w:r>
        <w:rPr>
          <w:rFonts w:hint="eastAsia" w:ascii="仿宋_GB2312" w:eastAsia="仿宋_GB2312" w:cs="仿宋_GB2312"/>
          <w:bCs/>
          <w:strike w:val="0"/>
          <w:dstrike w:val="0"/>
          <w:color w:val="auto"/>
          <w:kern w:val="0"/>
          <w:sz w:val="32"/>
          <w:szCs w:val="32"/>
        </w:rPr>
        <w:t>助（项）。年初预算为500万元，支出决算为460.61万元，完成年初预算的</w:t>
      </w:r>
      <w:r>
        <w:rPr>
          <w:rFonts w:hint="eastAsia" w:ascii="仿宋_GB2312" w:eastAsia="仿宋_GB2312" w:cs="仿宋_GB2312"/>
          <w:bCs/>
          <w:strike w:val="0"/>
          <w:dstrike w:val="0"/>
          <w:color w:val="auto"/>
          <w:kern w:val="0"/>
          <w:sz w:val="32"/>
          <w:szCs w:val="32"/>
          <w:lang w:val="en-US" w:eastAsia="zh-CN"/>
        </w:rPr>
        <w:t>92</w:t>
      </w:r>
      <w:r>
        <w:rPr>
          <w:rFonts w:hint="eastAsia" w:ascii="仿宋_GB2312" w:eastAsia="仿宋_GB2312" w:cs="仿宋_GB2312"/>
          <w:bCs/>
          <w:strike w:val="0"/>
          <w:dstrike w:val="0"/>
          <w:color w:val="auto"/>
          <w:kern w:val="0"/>
          <w:sz w:val="32"/>
          <w:szCs w:val="32"/>
        </w:rPr>
        <w:t>%。决算数大于预算数的主要原因是</w:t>
      </w:r>
      <w:r>
        <w:rPr>
          <w:rFonts w:hint="eastAsia" w:ascii="仿宋_GB2312" w:eastAsia="仿宋_GB2312" w:cs="仿宋_GB2312"/>
          <w:bCs/>
          <w:color w:val="auto"/>
          <w:kern w:val="0"/>
          <w:sz w:val="32"/>
          <w:szCs w:val="32"/>
          <w:lang w:eastAsia="zh-CN"/>
        </w:rPr>
        <w:t>机构改革，职能划转，指标也相应划转至应急事务管理局</w:t>
      </w:r>
      <w:r>
        <w:rPr>
          <w:rFonts w:hint="eastAsia" w:ascii="仿宋_GB2312" w:eastAsia="仿宋_GB2312" w:cs="仿宋_GB2312"/>
          <w:bCs/>
          <w:strike w:val="0"/>
          <w:dstrike w:val="0"/>
          <w:color w:val="auto"/>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strike w:val="0"/>
          <w:dstrike w:val="0"/>
          <w:color w:val="auto"/>
          <w:kern w:val="0"/>
          <w:sz w:val="32"/>
          <w:szCs w:val="32"/>
          <w:lang w:val="en-US" w:eastAsia="zh-CN"/>
        </w:rPr>
      </w:pPr>
      <w:r>
        <w:rPr>
          <w:rFonts w:hint="eastAsia" w:ascii="仿宋_GB2312" w:eastAsia="仿宋_GB2312" w:cs="仿宋_GB2312"/>
          <w:bCs/>
          <w:strike w:val="0"/>
          <w:dstrike w:val="0"/>
          <w:color w:val="auto"/>
          <w:kern w:val="0"/>
          <w:sz w:val="32"/>
          <w:szCs w:val="32"/>
        </w:rPr>
        <w:t>4</w:t>
      </w:r>
      <w:r>
        <w:rPr>
          <w:rFonts w:hint="eastAsia" w:ascii="仿宋_GB2312" w:eastAsia="仿宋_GB2312" w:cs="仿宋_GB2312"/>
          <w:bCs/>
          <w:strike w:val="0"/>
          <w:dstrike w:val="0"/>
          <w:color w:val="auto"/>
          <w:kern w:val="0"/>
          <w:sz w:val="32"/>
          <w:szCs w:val="32"/>
          <w:lang w:val="en-US" w:eastAsia="zh-CN"/>
        </w:rPr>
        <w:t>4</w:t>
      </w:r>
      <w:r>
        <w:rPr>
          <w:rFonts w:hint="eastAsia" w:ascii="仿宋_GB2312" w:eastAsia="仿宋_GB2312" w:cs="仿宋_GB2312"/>
          <w:bCs/>
          <w:strike w:val="0"/>
          <w:dstrike w:val="0"/>
          <w:color w:val="auto"/>
          <w:kern w:val="0"/>
          <w:sz w:val="32"/>
          <w:szCs w:val="32"/>
        </w:rPr>
        <w:t>. 其他支出（类）其他支出（款）其他支出（项）。年初预算为0万元，支出决算为10.66万元，完成年初预算的10</w:t>
      </w:r>
      <w:r>
        <w:rPr>
          <w:rFonts w:hint="eastAsia" w:ascii="仿宋_GB2312" w:eastAsia="仿宋_GB2312" w:cs="仿宋_GB2312"/>
          <w:bCs/>
          <w:strike w:val="0"/>
          <w:dstrike w:val="0"/>
          <w:color w:val="auto"/>
          <w:kern w:val="0"/>
          <w:sz w:val="32"/>
          <w:szCs w:val="32"/>
          <w:lang w:val="en-US" w:eastAsia="zh-CN"/>
        </w:rPr>
        <w:t>0</w:t>
      </w:r>
      <w:r>
        <w:rPr>
          <w:rFonts w:hint="eastAsia" w:ascii="仿宋_GB2312" w:eastAsia="仿宋_GB2312" w:cs="仿宋_GB2312"/>
          <w:bCs/>
          <w:strike w:val="0"/>
          <w:dstrike w:val="0"/>
          <w:color w:val="auto"/>
          <w:kern w:val="0"/>
          <w:sz w:val="32"/>
          <w:szCs w:val="32"/>
        </w:rPr>
        <w:t>%。决算数大于预算数的主要原因是动用上年结余资金</w:t>
      </w:r>
      <w:r>
        <w:rPr>
          <w:rFonts w:hint="eastAsia" w:ascii="仿宋_GB2312" w:eastAsia="仿宋_GB2312" w:cs="仿宋_GB2312"/>
          <w:bCs/>
          <w:strike w:val="0"/>
          <w:dstrike w:val="0"/>
          <w:color w:val="auto"/>
          <w:kern w:val="0"/>
          <w:sz w:val="32"/>
          <w:szCs w:val="32"/>
          <w:lang w:eastAsia="zh-CN"/>
        </w:rPr>
        <w:t>用于智慧养老项目设计费，柳州市民政局</w:t>
      </w:r>
      <w:r>
        <w:rPr>
          <w:rFonts w:hint="eastAsia" w:ascii="仿宋_GB2312" w:eastAsia="仿宋_GB2312" w:cs="仿宋_GB2312"/>
          <w:bCs/>
          <w:strike w:val="0"/>
          <w:dstrike w:val="0"/>
          <w:color w:val="auto"/>
          <w:kern w:val="0"/>
          <w:sz w:val="32"/>
          <w:szCs w:val="32"/>
          <w:lang w:val="en-US" w:eastAsia="zh-CN"/>
        </w:rPr>
        <w:t>基本建设项目前期工作经费备灾仓库建设款结转至2020年使用。</w:t>
      </w:r>
    </w:p>
    <w:p>
      <w:pPr>
        <w:autoSpaceDE w:val="0"/>
        <w:autoSpaceDN w:val="0"/>
        <w:adjustRightInd w:val="0"/>
        <w:spacing w:line="560" w:lineRule="exact"/>
        <w:ind w:firstLine="640" w:firstLineChars="200"/>
        <w:jc w:val="left"/>
        <w:rPr>
          <w:rFonts w:hint="eastAsia" w:ascii="仿宋_GB2312" w:eastAsia="仿宋_GB2312" w:cs="仿宋_GB2312"/>
          <w:b/>
          <w:bCs w:val="0"/>
          <w:kern w:val="0"/>
          <w:sz w:val="32"/>
          <w:szCs w:val="32"/>
          <w:lang w:eastAsia="zh-CN"/>
        </w:rPr>
      </w:pPr>
      <w:r>
        <w:rPr>
          <w:rFonts w:hint="eastAsia" w:ascii="仿宋_GB2312" w:eastAsia="仿宋_GB2312" w:cs="仿宋_GB2312"/>
          <w:bCs/>
          <w:kern w:val="0"/>
          <w:sz w:val="32"/>
          <w:szCs w:val="32"/>
        </w:rPr>
        <w:t>六、</w:t>
      </w:r>
      <w:r>
        <w:rPr>
          <w:rFonts w:hint="eastAsia" w:ascii="仿宋_GB2312" w:eastAsia="仿宋_GB2312" w:cs="仿宋_GB2312"/>
          <w:b/>
          <w:bCs w:val="0"/>
          <w:kern w:val="0"/>
          <w:sz w:val="32"/>
          <w:szCs w:val="32"/>
          <w:lang w:eastAsia="zh-CN"/>
        </w:rPr>
        <w:t>201</w:t>
      </w:r>
      <w:r>
        <w:rPr>
          <w:rFonts w:hint="eastAsia" w:ascii="仿宋_GB2312" w:eastAsia="仿宋_GB2312" w:cs="仿宋_GB2312"/>
          <w:b/>
          <w:bCs w:val="0"/>
          <w:kern w:val="0"/>
          <w:sz w:val="32"/>
          <w:szCs w:val="32"/>
          <w:lang w:val="en-US" w:eastAsia="zh-CN"/>
        </w:rPr>
        <w:t>9</w:t>
      </w:r>
      <w:r>
        <w:rPr>
          <w:rFonts w:hint="eastAsia" w:ascii="仿宋_GB2312" w:eastAsia="仿宋_GB2312" w:cs="仿宋_GB2312"/>
          <w:b/>
          <w:bCs w:val="0"/>
          <w:kern w:val="0"/>
          <w:sz w:val="32"/>
          <w:szCs w:val="32"/>
        </w:rPr>
        <w:t>年度一般公共预算财政拨款基本支出决算情况</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9</w:t>
      </w:r>
      <w:r>
        <w:rPr>
          <w:rFonts w:hint="eastAsia" w:ascii="仿宋_GB2312" w:eastAsia="仿宋_GB2312" w:cs="仿宋_GB2312"/>
          <w:b w:val="0"/>
          <w:bCs/>
          <w:kern w:val="0"/>
          <w:sz w:val="32"/>
          <w:szCs w:val="32"/>
        </w:rPr>
        <w:t>年度财政拨款基本支出8,150.18万元，其中：</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rPr>
        <w:t xml:space="preserve"> 人员经费7,341.74万元，主要包括：基本工资、津贴补贴、 奖金、伙食补助费、绩效工资、机关事业单位基本养老保险缴费、职业年金缴费、其他社会保障缴费、其他工资福利支出、 离休费、退休费、抚恤金、生活补助、医疗费、奖励金、住房公积金</w:t>
      </w:r>
      <w:r>
        <w:rPr>
          <w:rFonts w:hint="eastAsia" w:ascii="仿宋_GB2312" w:eastAsia="仿宋_GB2312" w:cs="仿宋_GB2312"/>
          <w:b w:val="0"/>
          <w:bCs/>
          <w:kern w:val="0"/>
          <w:sz w:val="32"/>
          <w:szCs w:val="32"/>
          <w:lang w:eastAsia="zh-CN"/>
        </w:rPr>
        <w:t>等</w:t>
      </w:r>
      <w:r>
        <w:rPr>
          <w:rFonts w:hint="eastAsia" w:ascii="仿宋_GB2312" w:eastAsia="仿宋_GB2312" w:cs="仿宋_GB2312"/>
          <w:b w:val="0"/>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 w:val="0"/>
          <w:bCs/>
          <w:kern w:val="0"/>
          <w:sz w:val="32"/>
          <w:szCs w:val="32"/>
        </w:rPr>
        <w:t>公用经费808.44万元，主要 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w:t>
      </w:r>
      <w:r>
        <w:rPr>
          <w:rFonts w:hint="eastAsia" w:ascii="仿宋_GB2312" w:eastAsia="仿宋_GB2312" w:cs="仿宋_GB2312"/>
          <w:b w:val="0"/>
          <w:bCs/>
          <w:kern w:val="0"/>
          <w:sz w:val="32"/>
          <w:szCs w:val="32"/>
          <w:lang w:eastAsia="zh-CN"/>
        </w:rPr>
        <w:t>等。</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bCs w:val="0"/>
          <w:kern w:val="0"/>
          <w:sz w:val="32"/>
          <w:szCs w:val="32"/>
          <w:lang w:eastAsia="zh-CN"/>
        </w:rPr>
        <w:t>201</w:t>
      </w:r>
      <w:r>
        <w:rPr>
          <w:rFonts w:hint="eastAsia" w:ascii="仿宋_GB2312" w:eastAsia="仿宋_GB2312" w:cs="仿宋_GB2312"/>
          <w:b/>
          <w:bCs w:val="0"/>
          <w:kern w:val="0"/>
          <w:sz w:val="32"/>
          <w:szCs w:val="32"/>
          <w:lang w:val="en-US" w:eastAsia="zh-CN"/>
        </w:rPr>
        <w:t>9</w:t>
      </w:r>
      <w:r>
        <w:rPr>
          <w:rFonts w:hint="eastAsia" w:ascii="仿宋_GB2312" w:eastAsia="仿宋_GB2312" w:cs="仿宋_GB2312"/>
          <w:b/>
          <w:bCs w:val="0"/>
          <w:kern w:val="0"/>
          <w:sz w:val="32"/>
          <w:szCs w:val="32"/>
        </w:rPr>
        <w:t xml:space="preserve">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年度“三公”经费财政拨款支出预算为144.68万元，支出决算为87.85万元，完成预算的</w:t>
      </w:r>
      <w:r>
        <w:rPr>
          <w:rFonts w:hint="eastAsia" w:ascii="仿宋_GB2312" w:eastAsia="仿宋_GB2312" w:cs="仿宋_GB2312"/>
          <w:bCs/>
          <w:kern w:val="0"/>
          <w:sz w:val="32"/>
          <w:szCs w:val="32"/>
          <w:lang w:val="en-US" w:eastAsia="zh-CN"/>
        </w:rPr>
        <w:t>61</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万元；公务用车购置及运行费支出决算为</w:t>
      </w:r>
      <w:r>
        <w:rPr>
          <w:rFonts w:hint="eastAsia" w:ascii="仿宋_GB2312" w:eastAsia="仿宋_GB2312" w:cs="仿宋_GB2312"/>
          <w:bCs/>
          <w:kern w:val="0"/>
          <w:sz w:val="32"/>
          <w:szCs w:val="32"/>
          <w:lang w:val="en-US" w:eastAsia="zh-CN"/>
        </w:rPr>
        <w:t>80.12</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72</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7.73</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24</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年度“三公”经费支出决算数小于预算数的主要原因是认真贯彻落实中央八项规定</w:t>
      </w:r>
      <w:bookmarkStart w:id="0" w:name="_GoBack"/>
      <w:bookmarkEnd w:id="0"/>
      <w:r>
        <w:rPr>
          <w:rFonts w:hint="eastAsia" w:ascii="仿宋_GB2312" w:eastAsia="仿宋_GB2312" w:cs="仿宋_GB2312"/>
          <w:bCs/>
          <w:kern w:val="0"/>
          <w:sz w:val="32"/>
          <w:szCs w:val="32"/>
        </w:rPr>
        <w:t>精神和厉行节约要求，进一步从严控制“三公”经费开支，全年实际支出比预算有所节约</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年度“三公”经费财政拨款支出决算数比</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年减少</w:t>
      </w:r>
      <w:r>
        <w:rPr>
          <w:rFonts w:hint="eastAsia" w:ascii="仿宋_GB2312" w:eastAsia="仿宋_GB2312" w:cs="仿宋_GB2312"/>
          <w:bCs/>
          <w:kern w:val="0"/>
          <w:sz w:val="32"/>
          <w:szCs w:val="32"/>
          <w:lang w:val="en-US" w:eastAsia="zh-CN"/>
        </w:rPr>
        <w:t>61.41</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41</w:t>
      </w:r>
      <w:r>
        <w:rPr>
          <w:rFonts w:hint="eastAsia" w:ascii="仿宋_GB2312" w:eastAsia="仿宋_GB2312" w:cs="仿宋_GB2312"/>
          <w:bCs/>
          <w:kern w:val="0"/>
          <w:sz w:val="32"/>
          <w:szCs w:val="32"/>
        </w:rPr>
        <w:t>%，其中：因公出国（境）费支出决算减少</w:t>
      </w:r>
      <w:r>
        <w:rPr>
          <w:rFonts w:hint="eastAsia" w:ascii="仿宋_GB2312" w:eastAsia="仿宋_GB2312" w:cs="仿宋_GB2312"/>
          <w:bCs/>
          <w:kern w:val="0"/>
          <w:sz w:val="32"/>
          <w:szCs w:val="32"/>
          <w:lang w:val="en-US" w:eastAsia="zh-CN"/>
        </w:rPr>
        <w:t>5.3</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%；公务用车购置及运行费支出决算减少</w:t>
      </w:r>
      <w:r>
        <w:rPr>
          <w:rFonts w:hint="eastAsia" w:ascii="仿宋_GB2312" w:eastAsia="仿宋_GB2312" w:cs="仿宋_GB2312"/>
          <w:bCs/>
          <w:kern w:val="0"/>
          <w:sz w:val="32"/>
          <w:szCs w:val="32"/>
          <w:lang w:val="en-US" w:eastAsia="zh-CN"/>
        </w:rPr>
        <w:t>54.96</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40.69</w:t>
      </w:r>
      <w:r>
        <w:rPr>
          <w:rFonts w:hint="eastAsia" w:ascii="仿宋_GB2312" w:eastAsia="仿宋_GB2312" w:cs="仿宋_GB2312"/>
          <w:bCs/>
          <w:kern w:val="0"/>
          <w:sz w:val="32"/>
          <w:szCs w:val="32"/>
        </w:rPr>
        <w:t>%；公务接待费支出决算减少</w:t>
      </w:r>
      <w:r>
        <w:rPr>
          <w:rFonts w:hint="eastAsia" w:ascii="仿宋_GB2312" w:eastAsia="仿宋_GB2312" w:cs="仿宋_GB2312"/>
          <w:bCs/>
          <w:kern w:val="0"/>
          <w:sz w:val="32"/>
          <w:szCs w:val="32"/>
          <w:lang w:val="en-US" w:eastAsia="zh-CN"/>
        </w:rPr>
        <w:t>1.14</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12.89</w:t>
      </w:r>
      <w:r>
        <w:rPr>
          <w:rFonts w:hint="eastAsia" w:ascii="仿宋_GB2312" w:eastAsia="仿宋_GB2312" w:cs="仿宋_GB2312"/>
          <w:bCs/>
          <w:kern w:val="0"/>
          <w:sz w:val="32"/>
          <w:szCs w:val="32"/>
        </w:rPr>
        <w:t>%。</w:t>
      </w:r>
    </w:p>
    <w:p>
      <w:pPr>
        <w:autoSpaceDE w:val="0"/>
        <w:autoSpaceDN w:val="0"/>
        <w:adjustRightInd w:val="0"/>
        <w:spacing w:line="560" w:lineRule="exact"/>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 xml:space="preserve"> 因公出国（境）费支出减少的主要原因是</w:t>
      </w:r>
      <w:r>
        <w:rPr>
          <w:rFonts w:hint="eastAsia" w:ascii="仿宋_GB2312" w:eastAsia="仿宋_GB2312" w:cs="仿宋_GB2312"/>
          <w:bCs/>
          <w:kern w:val="0"/>
          <w:sz w:val="32"/>
          <w:szCs w:val="32"/>
          <w:lang w:eastAsia="zh-CN"/>
        </w:rPr>
        <w:t>本年度无因公出国事项；公</w:t>
      </w:r>
      <w:r>
        <w:rPr>
          <w:rFonts w:hint="eastAsia" w:ascii="仿宋_GB2312" w:eastAsia="仿宋_GB2312" w:cs="仿宋_GB2312"/>
          <w:bCs/>
          <w:kern w:val="0"/>
          <w:sz w:val="32"/>
          <w:szCs w:val="32"/>
        </w:rPr>
        <w:t>务用车购置及运行费支出减少的主要原因是</w:t>
      </w:r>
      <w:r>
        <w:rPr>
          <w:rFonts w:hint="eastAsia" w:ascii="仿宋_GB2312" w:eastAsia="仿宋_GB2312" w:cs="仿宋_GB2312"/>
          <w:bCs/>
          <w:kern w:val="0"/>
          <w:sz w:val="32"/>
          <w:szCs w:val="32"/>
          <w:lang w:eastAsia="zh-CN"/>
        </w:rPr>
        <w:t>车辆购置费减少，本年度公务用车购置数（辆）</w:t>
      </w:r>
      <w:r>
        <w:rPr>
          <w:rFonts w:hint="eastAsia" w:ascii="仿宋_GB2312" w:eastAsia="仿宋_GB2312" w:cs="仿宋_GB2312"/>
          <w:bCs/>
          <w:kern w:val="0"/>
          <w:sz w:val="32"/>
          <w:szCs w:val="32"/>
          <w:lang w:val="en-US" w:eastAsia="zh-CN"/>
        </w:rPr>
        <w:t>1辆</w:t>
      </w:r>
      <w:r>
        <w:rPr>
          <w:rFonts w:hint="eastAsia" w:ascii="仿宋_GB2312" w:eastAsia="仿宋_GB2312" w:cs="仿宋_GB2312"/>
          <w:bCs/>
          <w:kern w:val="0"/>
          <w:sz w:val="32"/>
          <w:szCs w:val="32"/>
          <w:lang w:eastAsia="zh-CN"/>
        </w:rPr>
        <w:t>，车辆运行维护费按实际需求使用</w:t>
      </w:r>
      <w:r>
        <w:rPr>
          <w:rFonts w:hint="eastAsia" w:ascii="仿宋_GB2312" w:eastAsia="仿宋_GB2312" w:cs="仿宋_GB2312"/>
          <w:bCs/>
          <w:kern w:val="0"/>
          <w:sz w:val="32"/>
          <w:szCs w:val="32"/>
        </w:rPr>
        <w:t>；公务接待费支出减少的主要原因是严格按中央八项规定执行。</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年度“三公”经费财政拨款支出决算中，因公出国（境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%；公务用车购置及运行费支出决算</w:t>
      </w:r>
      <w:r>
        <w:rPr>
          <w:rFonts w:hint="eastAsia" w:ascii="仿宋_GB2312" w:eastAsia="仿宋_GB2312" w:cs="仿宋_GB2312"/>
          <w:bCs/>
          <w:kern w:val="0"/>
          <w:sz w:val="32"/>
          <w:szCs w:val="32"/>
          <w:lang w:val="en-US" w:eastAsia="zh-CN"/>
        </w:rPr>
        <w:t>80.12</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91</w:t>
      </w:r>
      <w:r>
        <w:rPr>
          <w:rFonts w:hint="eastAsia" w:ascii="仿宋_GB2312" w:eastAsia="仿宋_GB2312" w:cs="仿宋_GB2312"/>
          <w:bCs/>
          <w:kern w:val="0"/>
          <w:sz w:val="32"/>
          <w:szCs w:val="32"/>
        </w:rPr>
        <w:t>%；公务接待费支出决算7.73万元，占</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%。具体情况如下：  </w:t>
      </w:r>
    </w:p>
    <w:p>
      <w:pPr>
        <w:numPr>
          <w:ilvl w:val="0"/>
          <w:numId w:val="1"/>
        </w:numPr>
        <w:autoSpaceDE w:val="0"/>
        <w:autoSpaceDN w:val="0"/>
        <w:adjustRightInd w:val="0"/>
        <w:spacing w:line="560" w:lineRule="exact"/>
        <w:ind w:left="640" w:leftChars="0"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万元。全年安排机关和所属单位因公出国 （境）团组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个，累计</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人次 </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2.公务用车购置及运行费支出</w:t>
      </w:r>
      <w:r>
        <w:rPr>
          <w:rFonts w:hint="eastAsia" w:ascii="仿宋_GB2312" w:eastAsia="仿宋_GB2312" w:cs="仿宋_GB2312"/>
          <w:bCs/>
          <w:kern w:val="0"/>
          <w:sz w:val="32"/>
          <w:szCs w:val="32"/>
          <w:lang w:val="en-US" w:eastAsia="zh-CN"/>
        </w:rPr>
        <w:t>80.12</w:t>
      </w:r>
      <w:r>
        <w:rPr>
          <w:rFonts w:hint="eastAsia" w:ascii="仿宋_GB2312" w:eastAsia="仿宋_GB2312" w:cs="仿宋_GB2312"/>
          <w:bCs/>
          <w:kern w:val="0"/>
          <w:sz w:val="32"/>
          <w:szCs w:val="32"/>
        </w:rPr>
        <w:t>万元。其中：公务用车购置支出为15.27万元</w:t>
      </w:r>
      <w:r>
        <w:rPr>
          <w:rFonts w:hint="eastAsia" w:ascii="仿宋_GB2312" w:eastAsia="仿宋_GB2312" w:cs="仿宋_GB2312"/>
          <w:bCs/>
          <w:kern w:val="0"/>
          <w:sz w:val="32"/>
          <w:szCs w:val="32"/>
          <w:lang w:eastAsia="zh-CN"/>
        </w:rPr>
        <w:t>，公务用车购置数（辆）</w:t>
      </w:r>
      <w:r>
        <w:rPr>
          <w:rFonts w:hint="eastAsia" w:ascii="仿宋_GB2312" w:eastAsia="仿宋_GB2312" w:cs="仿宋_GB2312"/>
          <w:bCs/>
          <w:kern w:val="0"/>
          <w:sz w:val="32"/>
          <w:szCs w:val="32"/>
          <w:lang w:val="en-US" w:eastAsia="zh-CN"/>
        </w:rPr>
        <w:t>1辆</w:t>
      </w:r>
      <w:r>
        <w:rPr>
          <w:rFonts w:hint="eastAsia" w:ascii="仿宋_GB2312" w:eastAsia="仿宋_GB2312" w:cs="仿宋_GB2312"/>
          <w:bCs/>
          <w:kern w:val="0"/>
          <w:sz w:val="32"/>
          <w:szCs w:val="32"/>
        </w:rPr>
        <w:t>。公务用车运行支出64.85万元。主要用于</w:t>
      </w:r>
      <w:r>
        <w:rPr>
          <w:rFonts w:hint="eastAsia" w:ascii="仿宋_GB2312" w:eastAsia="仿宋_GB2312" w:cs="仿宋_GB2312"/>
          <w:bCs/>
          <w:kern w:val="0"/>
          <w:sz w:val="32"/>
          <w:szCs w:val="32"/>
          <w:lang w:eastAsia="zh-CN"/>
        </w:rPr>
        <w:t>车辆保险维修、加油、</w:t>
      </w:r>
      <w:r>
        <w:rPr>
          <w:rFonts w:hint="eastAsia" w:ascii="仿宋_GB2312" w:eastAsia="仿宋_GB2312" w:cs="仿宋_GB2312"/>
          <w:bCs/>
          <w:kern w:val="0"/>
          <w:sz w:val="32"/>
          <w:szCs w:val="32"/>
          <w:lang w:val="en-US" w:eastAsia="zh-CN"/>
        </w:rPr>
        <w:t>ETC</w:t>
      </w:r>
      <w:r>
        <w:rPr>
          <w:rFonts w:hint="eastAsia" w:ascii="仿宋_GB2312" w:eastAsia="仿宋_GB2312" w:cs="仿宋_GB2312"/>
          <w:bCs/>
          <w:kern w:val="0"/>
          <w:sz w:val="32"/>
          <w:szCs w:val="32"/>
          <w:lang w:eastAsia="zh-CN"/>
        </w:rPr>
        <w:t>过路费。201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年，机关所属单位开支财政拨款的公务用车保有量为37辆。</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3.公务接待费支出7.73万元。其中：</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年共接待国（境）外来访团组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国内公务接待支出7.73万元。主要用于</w:t>
      </w:r>
      <w:r>
        <w:rPr>
          <w:rFonts w:hint="eastAsia" w:ascii="仿宋_GB2312" w:eastAsia="仿宋_GB2312" w:cs="仿宋_GB2312"/>
          <w:bCs/>
          <w:kern w:val="0"/>
          <w:sz w:val="32"/>
          <w:szCs w:val="32"/>
          <w:lang w:eastAsia="zh-CN"/>
        </w:rPr>
        <w:t>养老事业、社会救助、低保等方面的公务接待</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年共接待国内来访团组142个、来宾548人次</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0" w:firstLineChars="0"/>
        <w:jc w:val="left"/>
        <w:rPr>
          <w:rFonts w:hint="eastAsia" w:ascii="仿宋_GB2312" w:eastAsia="仿宋_GB2312" w:cs="仿宋_GB2312"/>
          <w:b/>
          <w:bCs w:val="0"/>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八、</w:t>
      </w:r>
      <w:r>
        <w:rPr>
          <w:rFonts w:hint="eastAsia" w:ascii="仿宋_GB2312" w:eastAsia="仿宋_GB2312" w:cs="仿宋_GB2312"/>
          <w:b/>
          <w:bCs w:val="0"/>
          <w:kern w:val="0"/>
          <w:sz w:val="32"/>
          <w:szCs w:val="32"/>
          <w:lang w:eastAsia="zh-CN"/>
        </w:rPr>
        <w:t>201</w:t>
      </w:r>
      <w:r>
        <w:rPr>
          <w:rFonts w:hint="eastAsia" w:ascii="仿宋_GB2312" w:eastAsia="仿宋_GB2312" w:cs="仿宋_GB2312"/>
          <w:b/>
          <w:bCs w:val="0"/>
          <w:kern w:val="0"/>
          <w:sz w:val="32"/>
          <w:szCs w:val="32"/>
          <w:lang w:val="en-US" w:eastAsia="zh-CN"/>
        </w:rPr>
        <w:t>9</w:t>
      </w:r>
      <w:r>
        <w:rPr>
          <w:rFonts w:hint="eastAsia" w:ascii="仿宋_GB2312" w:eastAsia="仿宋_GB2312" w:cs="仿宋_GB2312"/>
          <w:b/>
          <w:bCs w:val="0"/>
          <w:kern w:val="0"/>
          <w:sz w:val="32"/>
          <w:szCs w:val="32"/>
        </w:rPr>
        <w:t xml:space="preserve"> 年度政府性基金预算财政拨款收入支出决算情况说明 </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本部门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年度政府基金预算财政拨款收</w:t>
      </w:r>
      <w:r>
        <w:rPr>
          <w:rFonts w:hint="eastAsia" w:ascii="仿宋_GB2312" w:eastAsia="仿宋_GB2312" w:cs="仿宋_GB2312"/>
          <w:bCs/>
          <w:kern w:val="0"/>
          <w:sz w:val="32"/>
          <w:szCs w:val="32"/>
          <w:lang w:eastAsia="zh-CN"/>
        </w:rPr>
        <w:t>入</w:t>
      </w:r>
      <w:r>
        <w:rPr>
          <w:rFonts w:hint="eastAsia" w:ascii="仿宋_GB2312" w:eastAsia="仿宋_GB2312" w:cs="仿宋_GB2312"/>
          <w:bCs/>
          <w:kern w:val="0"/>
          <w:sz w:val="32"/>
          <w:szCs w:val="32"/>
        </w:rPr>
        <w:t>总决算 3,106.49万元、</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rPr>
        <w:t xml:space="preserve">总决算2,586.43万元。与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 xml:space="preserve"> 年相比，收</w:t>
      </w:r>
      <w:r>
        <w:rPr>
          <w:rFonts w:hint="eastAsia" w:ascii="仿宋_GB2312" w:eastAsia="仿宋_GB2312" w:cs="仿宋_GB2312"/>
          <w:bCs/>
          <w:kern w:val="0"/>
          <w:sz w:val="32"/>
          <w:szCs w:val="32"/>
          <w:lang w:eastAsia="zh-CN"/>
        </w:rPr>
        <w:t>入</w:t>
      </w:r>
      <w:r>
        <w:rPr>
          <w:rFonts w:hint="eastAsia" w:ascii="仿宋_GB2312" w:eastAsia="仿宋_GB2312" w:cs="仿宋_GB2312"/>
          <w:bCs/>
          <w:kern w:val="0"/>
          <w:sz w:val="32"/>
          <w:szCs w:val="32"/>
        </w:rPr>
        <w:t>总计各</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507.99</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14</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rPr>
        <w:t>总计各</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1059.43</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29</w:t>
      </w:r>
      <w:r>
        <w:rPr>
          <w:rFonts w:hint="eastAsia" w:ascii="仿宋_GB2312" w:eastAsia="仿宋_GB2312" w:cs="仿宋_GB2312"/>
          <w:bCs/>
          <w:kern w:val="0"/>
          <w:sz w:val="32"/>
          <w:szCs w:val="32"/>
        </w:rPr>
        <w:t>%。其中，支出情况为：</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年基金拨款年初预算为1,731.70万元，支出决算2,586.43万元，完成年初预算</w:t>
      </w:r>
      <w:r>
        <w:rPr>
          <w:rFonts w:hint="eastAsia" w:ascii="仿宋_GB2312" w:eastAsia="仿宋_GB2312" w:cs="仿宋_GB2312"/>
          <w:bCs/>
          <w:kern w:val="0"/>
          <w:sz w:val="32"/>
          <w:szCs w:val="32"/>
          <w:lang w:val="en-US" w:eastAsia="zh-CN"/>
        </w:rPr>
        <w:t>149</w:t>
      </w:r>
      <w:r>
        <w:rPr>
          <w:rFonts w:hint="eastAsia" w:ascii="仿宋_GB2312" w:eastAsia="仿宋_GB2312" w:cs="仿宋_GB2312"/>
          <w:bCs/>
          <w:kern w:val="0"/>
          <w:sz w:val="32"/>
          <w:szCs w:val="32"/>
        </w:rPr>
        <w:t>%，决算大于预算数主要原因：一是年中追加安排财政拨款支出预算，涉及项目</w:t>
      </w:r>
      <w:r>
        <w:rPr>
          <w:rFonts w:hint="eastAsia" w:ascii="仿宋_GB2312" w:eastAsia="仿宋_GB2312" w:cs="仿宋_GB2312"/>
          <w:bCs/>
          <w:kern w:val="0"/>
          <w:sz w:val="32"/>
          <w:szCs w:val="32"/>
          <w:lang w:eastAsia="zh-CN"/>
        </w:rPr>
        <w:t>有</w:t>
      </w:r>
      <w:r>
        <w:rPr>
          <w:rFonts w:hint="eastAsia" w:ascii="仿宋_GB2312" w:eastAsia="仿宋_GB2312" w:cs="仿宋_GB2312"/>
          <w:bCs/>
          <w:kern w:val="0"/>
          <w:sz w:val="32"/>
          <w:szCs w:val="32"/>
        </w:rPr>
        <w:t>婚登家庭心理咨询服务、残疾人福利项目、居家养老服务、政府购买社会工作服务项目</w:t>
      </w:r>
      <w:r>
        <w:rPr>
          <w:rFonts w:hint="eastAsia" w:ascii="仿宋_GB2312" w:eastAsia="仿宋_GB2312" w:cs="仿宋_GB2312"/>
          <w:bCs/>
          <w:kern w:val="0"/>
          <w:sz w:val="32"/>
          <w:szCs w:val="32"/>
          <w:lang w:eastAsia="zh-CN"/>
        </w:rPr>
        <w:t>、福利救助中心星光大楼工程款</w:t>
      </w:r>
      <w:r>
        <w:rPr>
          <w:rFonts w:hint="eastAsia" w:ascii="仿宋_GB2312" w:eastAsia="仿宋_GB2312" w:cs="仿宋_GB2312"/>
          <w:bCs/>
          <w:kern w:val="0"/>
          <w:sz w:val="32"/>
          <w:szCs w:val="32"/>
        </w:rPr>
        <w:t>等；二是部分支出按规定，通过使用以前年度财政拨款结转资金解决。其中：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 其他支出（类）彩票发行销售机构业务费安排的支出（款）福利彩票销售机构的业务费支出（项）。年初预算为0万元，支出决算为991.60万元。决算数大于预算数的主要原因是柳州市社会福利有奖募捐办公室由区福利彩票发行中心直管划为柳州市管理，款项由自治区转移支付资金拨付。</w:t>
      </w:r>
    </w:p>
    <w:p>
      <w:pPr>
        <w:autoSpaceDE w:val="0"/>
        <w:autoSpaceDN w:val="0"/>
        <w:adjustRightInd w:val="0"/>
        <w:spacing w:line="560" w:lineRule="exact"/>
        <w:ind w:firstLine="960" w:firstLineChars="3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 其他支出（类）彩票公益金安排的支出（款）用于社会福利的彩票公益金支出（项）。年初预算为0万元，支出决算为2,568.02万元。决算数大于预算数的主要原因是中央</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自治区拨款支付居家养老服务、标准化建设费用、政府购买社会工作服务项目</w:t>
      </w:r>
      <w:r>
        <w:rPr>
          <w:rFonts w:hint="eastAsia" w:ascii="仿宋_GB2312" w:eastAsia="仿宋_GB2312" w:cs="仿宋_GB2312"/>
          <w:bCs/>
          <w:kern w:val="0"/>
          <w:sz w:val="32"/>
          <w:szCs w:val="32"/>
          <w:lang w:eastAsia="zh-CN"/>
        </w:rPr>
        <w:t>、福利救助中心星光大楼工程款</w:t>
      </w:r>
      <w:r>
        <w:rPr>
          <w:rFonts w:hint="eastAsia" w:ascii="仿宋_GB2312" w:eastAsia="仿宋_GB2312" w:cs="仿宋_GB2312"/>
          <w:bCs/>
          <w:kern w:val="0"/>
          <w:sz w:val="32"/>
          <w:szCs w:val="32"/>
        </w:rPr>
        <w:t>等。</w:t>
      </w:r>
    </w:p>
    <w:p>
      <w:pPr>
        <w:autoSpaceDE w:val="0"/>
        <w:autoSpaceDN w:val="0"/>
        <w:adjustRightInd w:val="0"/>
        <w:ind w:firstLine="643" w:firstLineChars="200"/>
        <w:jc w:val="left"/>
        <w:rPr>
          <w:rFonts w:hint="eastAsia" w:ascii="仿宋_GB2312" w:eastAsia="仿宋_GB2312" w:cs="仿宋_GB2312"/>
          <w:b/>
          <w:bCs w:val="0"/>
          <w:kern w:val="0"/>
          <w:sz w:val="32"/>
          <w:szCs w:val="32"/>
        </w:rPr>
      </w:pPr>
      <w:r>
        <w:rPr>
          <w:rFonts w:hint="eastAsia" w:ascii="仿宋_GB2312" w:eastAsia="仿宋_GB2312" w:cs="仿宋_GB2312"/>
          <w:b/>
          <w:bCs w:val="0"/>
          <w:kern w:val="0"/>
          <w:sz w:val="32"/>
          <w:szCs w:val="32"/>
          <w:lang w:eastAsia="zh-CN"/>
        </w:rPr>
        <w:t>九、</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bCs w:val="0"/>
          <w:kern w:val="0"/>
          <w:sz w:val="32"/>
          <w:szCs w:val="32"/>
        </w:rPr>
        <w:t xml:space="preserve"> 年度预算绩效情况说明</w:t>
      </w:r>
    </w:p>
    <w:p>
      <w:pPr>
        <w:numPr>
          <w:ilvl w:val="0"/>
          <w:numId w:val="2"/>
        </w:num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numPr>
          <w:ilvl w:val="0"/>
          <w:numId w:val="2"/>
        </w:num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根据财政预算管理要求，本部门共组织对8个项目进行了绩效评价，涉及一般公共预算当年财政拨款</w:t>
      </w:r>
      <w:r>
        <w:rPr>
          <w:rFonts w:hint="eastAsia" w:ascii="仿宋_GB2312" w:eastAsia="仿宋_GB2312" w:cs="仿宋_GB2312"/>
          <w:bCs/>
          <w:kern w:val="0"/>
          <w:sz w:val="32"/>
          <w:szCs w:val="32"/>
          <w:lang w:val="en-US" w:eastAsia="zh-CN"/>
        </w:rPr>
        <w:t>10,363.92</w:t>
      </w:r>
      <w:r>
        <w:rPr>
          <w:rFonts w:hint="eastAsia" w:ascii="仿宋_GB2312" w:eastAsia="仿宋_GB2312" w:cs="仿宋_GB2312"/>
          <w:bCs/>
          <w:kern w:val="0"/>
          <w:sz w:val="32"/>
          <w:szCs w:val="32"/>
        </w:rPr>
        <w:t>万元，占年初预算的</w:t>
      </w:r>
      <w:r>
        <w:rPr>
          <w:rFonts w:hint="eastAsia" w:ascii="仿宋_GB2312" w:eastAsia="仿宋_GB2312" w:cs="仿宋_GB2312"/>
          <w:bCs/>
          <w:kern w:val="0"/>
          <w:sz w:val="32"/>
          <w:szCs w:val="32"/>
          <w:lang w:val="en-US" w:eastAsia="zh-CN"/>
        </w:rPr>
        <w:t>74</w:t>
      </w:r>
      <w:r>
        <w:rPr>
          <w:rFonts w:hint="eastAsia" w:ascii="仿宋_GB2312" w:eastAsia="仿宋_GB2312" w:cs="仿宋_GB2312"/>
          <w:bCs/>
          <w:kern w:val="0"/>
          <w:sz w:val="32"/>
          <w:szCs w:val="32"/>
        </w:rPr>
        <w:t>%。绩效评价结果显示，上述项目支出绩效情况理想，达到项目申请时设定的各项绩效目标。</w:t>
      </w:r>
    </w:p>
    <w:p>
      <w:pPr>
        <w:numPr>
          <w:ilvl w:val="0"/>
          <w:numId w:val="2"/>
        </w:numPr>
        <w:autoSpaceDE w:val="0"/>
        <w:autoSpaceDN w:val="0"/>
        <w:adjustRightInd w:val="0"/>
        <w:ind w:left="0" w:leftChars="0"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部门决算中项目绩效自评结果</w:t>
      </w:r>
      <w:r>
        <w:rPr>
          <w:rFonts w:hint="eastAsia" w:ascii="仿宋_GB2312" w:eastAsia="仿宋_GB2312" w:cs="仿宋_GB2312"/>
          <w:bCs/>
          <w:kern w:val="0"/>
          <w:sz w:val="32"/>
          <w:szCs w:val="32"/>
          <w:lang w:eastAsia="zh-CN"/>
        </w:rPr>
        <w:t>。</w:t>
      </w:r>
    </w:p>
    <w:p>
      <w:pPr>
        <w:numPr>
          <w:ilvl w:val="0"/>
          <w:numId w:val="0"/>
        </w:num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部门决算中项目绩效自评结果达到</w:t>
      </w:r>
      <w:r>
        <w:rPr>
          <w:rFonts w:hint="eastAsia" w:ascii="仿宋_GB2312"/>
          <w:sz w:val="32"/>
          <w:szCs w:val="32"/>
        </w:rPr>
        <w:t>96.65分</w:t>
      </w:r>
      <w:r>
        <w:rPr>
          <w:rFonts w:hint="eastAsia" w:ascii="仿宋_GB2312" w:eastAsia="仿宋_GB2312" w:cs="仿宋_GB2312"/>
          <w:bCs/>
          <w:kern w:val="0"/>
          <w:sz w:val="32"/>
          <w:szCs w:val="32"/>
        </w:rPr>
        <w:t>。</w:t>
      </w:r>
    </w:p>
    <w:p>
      <w:pPr>
        <w:autoSpaceDE w:val="0"/>
        <w:autoSpaceDN w:val="0"/>
        <w:adjustRightInd w:val="0"/>
        <w:ind w:firstLine="643" w:firstLineChars="200"/>
        <w:jc w:val="left"/>
        <w:rPr>
          <w:rFonts w:hint="eastAsia" w:ascii="仿宋_GB2312" w:eastAsia="仿宋_GB2312" w:cs="仿宋_GB2312"/>
          <w:b/>
          <w:bCs w:val="0"/>
          <w:kern w:val="0"/>
          <w:sz w:val="32"/>
          <w:szCs w:val="32"/>
          <w:lang w:eastAsia="zh-CN"/>
        </w:rPr>
      </w:pPr>
      <w:r>
        <w:rPr>
          <w:rFonts w:hint="eastAsia" w:ascii="仿宋_GB2312" w:eastAsia="仿宋_GB2312" w:cs="仿宋_GB2312"/>
          <w:b/>
          <w:bCs w:val="0"/>
          <w:kern w:val="0"/>
          <w:sz w:val="32"/>
          <w:szCs w:val="32"/>
          <w:lang w:eastAsia="zh-CN"/>
        </w:rPr>
        <w:t>十、</w:t>
      </w:r>
      <w:r>
        <w:rPr>
          <w:rFonts w:hint="eastAsia" w:ascii="仿宋_GB2312" w:eastAsia="仿宋_GB2312" w:cs="仿宋_GB2312"/>
          <w:b/>
          <w:bCs w:val="0"/>
          <w:kern w:val="0"/>
          <w:sz w:val="32"/>
          <w:szCs w:val="32"/>
        </w:rPr>
        <w:t>其他重要事项的情况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（一）机关运行经费支出情况。</w:t>
      </w:r>
      <w:r>
        <w:rPr>
          <w:rFonts w:hint="eastAsia" w:ascii="仿宋_GB2312" w:eastAsia="仿宋_GB2312" w:cs="仿宋_GB2312"/>
          <w:kern w:val="0"/>
          <w:sz w:val="32"/>
          <w:szCs w:val="32"/>
          <w:lang w:eastAsia="zh-CN"/>
        </w:rPr>
        <w:t>201</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年度部门机关运行经费支出483.22万元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 xml:space="preserve">比 </w:t>
      </w:r>
      <w:r>
        <w:rPr>
          <w:rFonts w:hint="eastAsia" w:ascii="仿宋_GB2312" w:eastAsia="仿宋_GB2312" w:cs="仿宋_GB2312"/>
          <w:kern w:val="0"/>
          <w:sz w:val="32"/>
          <w:szCs w:val="32"/>
          <w:lang w:eastAsia="zh-CN"/>
        </w:rPr>
        <w:t>201</w:t>
      </w:r>
      <w:r>
        <w:rPr>
          <w:rFonts w:hint="eastAsia" w:ascii="仿宋_GB2312" w:eastAsia="仿宋_GB2312" w:cs="仿宋_GB2312"/>
          <w:kern w:val="0"/>
          <w:sz w:val="32"/>
          <w:szCs w:val="32"/>
          <w:lang w:val="en-US" w:eastAsia="zh-CN"/>
        </w:rPr>
        <w:t>8</w:t>
      </w:r>
      <w:r>
        <w:rPr>
          <w:rFonts w:hint="eastAsia" w:ascii="仿宋_GB2312" w:eastAsia="仿宋_GB2312" w:cs="仿宋_GB2312"/>
          <w:kern w:val="0"/>
          <w:sz w:val="32"/>
          <w:szCs w:val="32"/>
        </w:rPr>
        <w:t>年增加</w:t>
      </w:r>
      <w:r>
        <w:rPr>
          <w:rFonts w:hint="eastAsia" w:ascii="仿宋_GB2312" w:eastAsia="仿宋_GB2312" w:cs="仿宋_GB2312"/>
          <w:kern w:val="0"/>
          <w:sz w:val="32"/>
          <w:szCs w:val="32"/>
          <w:lang w:val="en-US" w:eastAsia="zh-CN"/>
        </w:rPr>
        <w:t>51.76</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12</w:t>
      </w:r>
      <w:r>
        <w:rPr>
          <w:rFonts w:hint="eastAsia" w:ascii="仿宋_GB2312" w:eastAsia="仿宋_GB2312" w:cs="仿宋_GB2312"/>
          <w:kern w:val="0"/>
          <w:sz w:val="32"/>
          <w:szCs w:val="32"/>
        </w:rPr>
        <w:t>%，</w:t>
      </w:r>
      <w:r>
        <w:rPr>
          <w:rFonts w:hint="eastAsia" w:ascii="仿宋_GB2312" w:eastAsia="仿宋_GB2312" w:cs="仿宋_GB2312"/>
          <w:color w:val="auto"/>
          <w:kern w:val="0"/>
          <w:sz w:val="32"/>
          <w:szCs w:val="32"/>
        </w:rPr>
        <w:t>增</w:t>
      </w:r>
      <w:r>
        <w:rPr>
          <w:rFonts w:hint="eastAsia" w:ascii="仿宋_GB2312" w:eastAsia="仿宋_GB2312" w:cs="仿宋_GB2312"/>
          <w:color w:val="auto"/>
          <w:kern w:val="0"/>
          <w:sz w:val="32"/>
          <w:szCs w:val="32"/>
          <w:lang w:eastAsia="zh-CN"/>
        </w:rPr>
        <w:t>长</w:t>
      </w:r>
      <w:r>
        <w:rPr>
          <w:rFonts w:hint="eastAsia" w:ascii="仿宋_GB2312" w:eastAsia="仿宋_GB2312" w:cs="仿宋_GB2312"/>
          <w:color w:val="auto"/>
          <w:kern w:val="0"/>
          <w:sz w:val="32"/>
          <w:szCs w:val="32"/>
        </w:rPr>
        <w:t>原因</w:t>
      </w:r>
      <w:r>
        <w:rPr>
          <w:rFonts w:hint="eastAsia" w:ascii="仿宋_GB2312" w:eastAsia="仿宋_GB2312" w:cs="仿宋_GB2312"/>
          <w:color w:val="auto"/>
          <w:kern w:val="0"/>
          <w:sz w:val="32"/>
          <w:szCs w:val="32"/>
          <w:lang w:eastAsia="zh-CN"/>
        </w:rPr>
        <w:t>是因为人员基本工资、绩效考评经费增长</w:t>
      </w:r>
      <w:r>
        <w:rPr>
          <w:rFonts w:hint="eastAsia" w:ascii="仿宋_GB2312" w:eastAsia="仿宋_GB2312" w:cs="仿宋_GB2312"/>
          <w:color w:val="auto"/>
          <w:kern w:val="0"/>
          <w:sz w:val="32"/>
          <w:szCs w:val="32"/>
        </w:rPr>
        <w:t>。</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（二）政府采购支出情况</w:t>
      </w:r>
      <w:r>
        <w:rPr>
          <w:rFonts w:hint="eastAsia" w:ascii="仿宋_GB2312" w:eastAsia="仿宋_GB2312" w:cs="仿宋_GB2312"/>
          <w:kern w:val="0"/>
          <w:sz w:val="32"/>
          <w:szCs w:val="32"/>
          <w:lang w:eastAsia="zh-CN"/>
        </w:rPr>
        <w:t>。201</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年度部门政府采购支出总额</w:t>
      </w:r>
      <w:r>
        <w:rPr>
          <w:rFonts w:hint="eastAsia" w:ascii="仿宋_GB2312" w:eastAsia="仿宋_GB2312" w:cs="仿宋_GB2312"/>
          <w:kern w:val="0"/>
          <w:sz w:val="32"/>
          <w:szCs w:val="32"/>
          <w:lang w:val="en-US" w:eastAsia="zh-CN"/>
        </w:rPr>
        <w:t>3,318.68</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其中：货物支出</w:t>
      </w:r>
      <w:r>
        <w:rPr>
          <w:rFonts w:hint="eastAsia" w:ascii="仿宋_GB2312" w:eastAsia="仿宋_GB2312" w:cs="仿宋_GB2312"/>
          <w:kern w:val="0"/>
          <w:sz w:val="32"/>
          <w:szCs w:val="32"/>
          <w:lang w:val="en-US" w:eastAsia="zh-CN"/>
        </w:rPr>
        <w:t>998.4</w:t>
      </w:r>
      <w:r>
        <w:rPr>
          <w:rFonts w:hint="eastAsia" w:ascii="仿宋_GB2312" w:eastAsia="仿宋_GB2312" w:cs="仿宋_GB2312"/>
          <w:kern w:val="0"/>
          <w:sz w:val="32"/>
          <w:szCs w:val="32"/>
        </w:rPr>
        <w:t>万元、工程支出</w:t>
      </w:r>
      <w:r>
        <w:rPr>
          <w:rFonts w:hint="eastAsia" w:ascii="仿宋_GB2312" w:eastAsia="仿宋_GB2312" w:cs="仿宋_GB2312"/>
          <w:kern w:val="0"/>
          <w:sz w:val="32"/>
          <w:szCs w:val="32"/>
          <w:lang w:val="en-US" w:eastAsia="zh-CN"/>
        </w:rPr>
        <w:t>424.64</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1,895.64</w:t>
      </w:r>
      <w:r>
        <w:rPr>
          <w:rFonts w:hint="eastAsia" w:ascii="仿宋_GB2312" w:eastAsia="仿宋_GB2312" w:cs="仿宋_GB2312"/>
          <w:kern w:val="0"/>
          <w:sz w:val="32"/>
          <w:szCs w:val="32"/>
        </w:rPr>
        <w:t>万元。</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（三）国有资产占用情况。截至年末部门共有车辆37辆，其中</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公务用车37辆</w:t>
      </w:r>
      <w:r>
        <w:rPr>
          <w:rFonts w:hint="eastAsia" w:ascii="仿宋_GB2312" w:eastAsia="仿宋_GB2312" w:cs="仿宋_GB2312"/>
          <w:kern w:val="0"/>
          <w:sz w:val="32"/>
          <w:szCs w:val="32"/>
          <w:lang w:eastAsia="zh-CN"/>
        </w:rPr>
        <w:t>：主要领导干部用车</w:t>
      </w:r>
      <w:r>
        <w:rPr>
          <w:rFonts w:hint="eastAsia" w:ascii="仿宋_GB2312" w:eastAsia="仿宋_GB2312" w:cs="仿宋_GB2312"/>
          <w:kern w:val="0"/>
          <w:sz w:val="32"/>
          <w:szCs w:val="32"/>
          <w:lang w:val="en-US" w:eastAsia="zh-CN"/>
        </w:rPr>
        <w:t>1辆</w:t>
      </w:r>
      <w:r>
        <w:rPr>
          <w:rFonts w:hint="eastAsia" w:ascii="仿宋_GB2312" w:eastAsia="仿宋_GB2312" w:cs="仿宋_GB2312"/>
          <w:kern w:val="0"/>
          <w:sz w:val="32"/>
          <w:szCs w:val="32"/>
        </w:rPr>
        <w:t>；特种专业技术用车</w:t>
      </w:r>
      <w:r>
        <w:rPr>
          <w:rFonts w:hint="eastAsia" w:ascii="仿宋_GB2312" w:eastAsia="仿宋_GB2312" w:cs="仿宋_GB2312"/>
          <w:kern w:val="0"/>
          <w:sz w:val="32"/>
          <w:szCs w:val="32"/>
          <w:lang w:val="en-US" w:eastAsia="zh-CN"/>
        </w:rPr>
        <w:t>1辆</w:t>
      </w:r>
      <w:r>
        <w:rPr>
          <w:rFonts w:hint="eastAsia" w:ascii="仿宋_GB2312" w:eastAsia="仿宋_GB2312" w:cs="仿宋_GB2312"/>
          <w:kern w:val="0"/>
          <w:sz w:val="32"/>
          <w:szCs w:val="32"/>
        </w:rPr>
        <w:t>；其他用车</w:t>
      </w:r>
      <w:r>
        <w:rPr>
          <w:rFonts w:hint="eastAsia" w:ascii="仿宋_GB2312" w:eastAsia="仿宋_GB2312" w:cs="仿宋_GB2312"/>
          <w:kern w:val="0"/>
          <w:sz w:val="32"/>
          <w:szCs w:val="32"/>
          <w:lang w:val="en-US" w:eastAsia="zh-CN"/>
        </w:rPr>
        <w:t>35辆。</w:t>
      </w:r>
      <w:r>
        <w:rPr>
          <w:rFonts w:hint="eastAsia" w:ascii="仿宋_GB2312" w:eastAsia="仿宋_GB2312" w:cs="仿宋_GB2312"/>
          <w:kern w:val="0"/>
          <w:sz w:val="32"/>
          <w:szCs w:val="32"/>
        </w:rPr>
        <w:t>单价50万元 以上通用设备</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台（套）</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单价100 万元以上专用设备</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lang w:eastAsia="zh-CN"/>
        </w:rPr>
        <w:t>台</w:t>
      </w:r>
      <w:r>
        <w:rPr>
          <w:rFonts w:hint="eastAsia" w:ascii="仿宋_GB2312" w:eastAsia="仿宋_GB2312" w:cs="仿宋_GB2312"/>
          <w:kern w:val="0"/>
          <w:sz w:val="32"/>
          <w:szCs w:val="32"/>
        </w:rPr>
        <w:t xml:space="preserve">（套）。 </w:t>
      </w:r>
    </w:p>
    <w:p>
      <w:pPr>
        <w:ind w:firstLine="645"/>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财政拨款收入：指市本级财政当年拨付的资金。</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事业收入：指事业单位开展专业活动用辅助活动所取得的收入。</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经营收入：指事业单位在专业业务活动及辅助活动之外开展非独立核算经营活动取得的收入。</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其他收入：指除上述“财政拨款收入”、“事业收入”、“经营收入”等以外的收入。</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年初结转和结余：指以前年度尚未完成、结转到本年按规定继续使用的资金。</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结余分配：指事业单位按规定提取的职工福利基金、事业基金和缴纳的所得税，以及建设单位按规定应交回的基本建设竣工项目结余资金。</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年末结转和结余：指本年度或以前年度预算安排、因客观条件发生变化无法按原计划实施，需延迟到以后年度按有关规定继续使用的资金。</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基本支出：指为保障机构正常运转、完成日常工作任务而发生的人员支出和公用支出。</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项目支出：指在基本支出之外为完成特定行政任务和事业发展目标所发生的支出。</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经营支出：指事业单位在专业业务活动及其辅助活动之外开展非独立核算经营活动发生的支出。</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sz w:val="30"/>
        <w:szCs w:val="30"/>
      </w:rPr>
    </w:pPr>
    <w:r>
      <w:rPr>
        <w:sz w:val="30"/>
        <w:szCs w:val="30"/>
      </w:rPr>
      <w:fldChar w:fldCharType="begin"/>
    </w:r>
    <w:r>
      <w:rPr>
        <w:rStyle w:val="5"/>
        <w:sz w:val="30"/>
        <w:szCs w:val="30"/>
      </w:rPr>
      <w:instrText xml:space="preserve">PAGE  </w:instrText>
    </w:r>
    <w:r>
      <w:rPr>
        <w:sz w:val="30"/>
        <w:szCs w:val="30"/>
      </w:rPr>
      <w:fldChar w:fldCharType="separate"/>
    </w:r>
    <w:r>
      <w:rPr>
        <w:rStyle w:val="5"/>
        <w:sz w:val="30"/>
        <w:szCs w:val="30"/>
      </w:rPr>
      <w:t>- 16 -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C705C"/>
    <w:multiLevelType w:val="singleLevel"/>
    <w:tmpl w:val="34BC705C"/>
    <w:lvl w:ilvl="0" w:tentative="0">
      <w:start w:val="1"/>
      <w:numFmt w:val="decimal"/>
      <w:lvlText w:val="%1."/>
      <w:lvlJc w:val="left"/>
      <w:pPr>
        <w:tabs>
          <w:tab w:val="left" w:pos="312"/>
        </w:tabs>
        <w:ind w:left="640" w:leftChars="0" w:firstLine="0" w:firstLineChars="0"/>
      </w:p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46F2595"/>
    <w:rsid w:val="08616F89"/>
    <w:rsid w:val="08B96BBD"/>
    <w:rsid w:val="0B20401B"/>
    <w:rsid w:val="0DAD3E8D"/>
    <w:rsid w:val="143113AB"/>
    <w:rsid w:val="261A1BE6"/>
    <w:rsid w:val="26460DBA"/>
    <w:rsid w:val="288810CC"/>
    <w:rsid w:val="2B0A5CBF"/>
    <w:rsid w:val="2C4219FE"/>
    <w:rsid w:val="2C642D57"/>
    <w:rsid w:val="2D837E36"/>
    <w:rsid w:val="2E4D0550"/>
    <w:rsid w:val="32043307"/>
    <w:rsid w:val="321B3ABA"/>
    <w:rsid w:val="34441AA2"/>
    <w:rsid w:val="360D2628"/>
    <w:rsid w:val="377A447C"/>
    <w:rsid w:val="39A63F06"/>
    <w:rsid w:val="39C742A4"/>
    <w:rsid w:val="3AFA0852"/>
    <w:rsid w:val="3B0B1BBB"/>
    <w:rsid w:val="3CB86545"/>
    <w:rsid w:val="3DB45551"/>
    <w:rsid w:val="3EAE056E"/>
    <w:rsid w:val="3ED1439F"/>
    <w:rsid w:val="408170A8"/>
    <w:rsid w:val="45232C03"/>
    <w:rsid w:val="45553633"/>
    <w:rsid w:val="4C256E3D"/>
    <w:rsid w:val="4CB52F0F"/>
    <w:rsid w:val="4D4C6307"/>
    <w:rsid w:val="4F5D2C0C"/>
    <w:rsid w:val="509D51BC"/>
    <w:rsid w:val="532F1F9A"/>
    <w:rsid w:val="582C1954"/>
    <w:rsid w:val="59F05EC2"/>
    <w:rsid w:val="5A9E0307"/>
    <w:rsid w:val="5D1A534A"/>
    <w:rsid w:val="62163194"/>
    <w:rsid w:val="63980AB8"/>
    <w:rsid w:val="65196790"/>
    <w:rsid w:val="656B2452"/>
    <w:rsid w:val="665936C1"/>
    <w:rsid w:val="680F05F9"/>
    <w:rsid w:val="68CE4411"/>
    <w:rsid w:val="6A7073D0"/>
    <w:rsid w:val="6AD93081"/>
    <w:rsid w:val="6C9D6ED2"/>
    <w:rsid w:val="6ED56680"/>
    <w:rsid w:val="6F56172E"/>
    <w:rsid w:val="713C5BDC"/>
    <w:rsid w:val="73C60EE8"/>
    <w:rsid w:val="77E05E12"/>
    <w:rsid w:val="78212EBA"/>
    <w:rsid w:val="7A816E49"/>
    <w:rsid w:val="7CB06851"/>
    <w:rsid w:val="7DA060F5"/>
    <w:rsid w:val="7EB87B2C"/>
    <w:rsid w:val="7F896B4C"/>
    <w:rsid w:val="7FE14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User</cp:lastModifiedBy>
  <dcterms:modified xsi:type="dcterms:W3CDTF">2023-05-08T01:49:06Z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54A3D8A7A7C548BDABE827706E264F5B</vt:lpwstr>
  </property>
</Properties>
</file>